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8C_73/2014 vom 2. Mai 2014</w:t>
      </w:r>
    </w:p>
    <w:p>
      <w:r>
        <w:t>Bundesgericht, 2014-05-02, DE</w:t>
      </w:r>
    </w:p>
    <w:p>
      <w:r>
        <w:rPr>
          <w:b/>
        </w:rPr>
        <w:t xml:space="preserve">Quelle: </w:t>
      </w:r>
      <w:r>
        <w:t>https://mcp.opencaselaw.ch/entscheid/bger_8C_73_2014</w:t>
      </w:r>
    </w:p>
    <w:p>
      <w:r>
        <w:t>FR: TF 8C_73/2014 du 2 mai 2014</w:t>
      </w:r>
    </w:p>
    <w:p>
      <w:r>
        <w:t>IT: TF 8C_73/2014 del 2 maggio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Es legt seinem Urteil den Sachverhalt zugrunde, den die Vorinstanz festgestellt hat ( Art. 105 Abs. 1 BGG ). Das Bundesgericht kann deren Sachverhaltsfeststellung nur berichtigen oder ergänzen, wenn sie offensichtlich unrichtig ist oder auf einer Rechtsverletzung im Sinne von Art. 95 BGG beruht ( Art. 105 Abs. 2 BGG ).</w:t>
      </w:r>
    </w:p>
    <w:p>
      <w:r>
        <w:rPr>
          <w:b/>
        </w:rPr>
        <w:t>E. 2</w:t>
      </w:r>
    </w:p>
    <w:p>
      <w:r>
        <w:t>Streitig und zu prüfen ist vorliegend nurmehr die revisionsweise Aufhebung der Hilflosenentschädigung und deren Rückforderung. Unbestritten ist die wiedererwägungsweise Herabsetzung der ganzen Invalidenrente auf eine Viertelsrente ab 1. September 2012.</w:t>
      </w:r>
    </w:p>
    <w:p>
      <w:r>
        <w:rPr>
          <w:b/>
        </w:rPr>
        <w:t>E. 3.1</w:t>
      </w:r>
    </w:p>
    <w:p>
      <w:r>
        <w:t>Das kantonale Gericht hat die zur Beurteilung der Streitsache massgebenden rechtlichen Grundlagen zutreffend dargelegt. Dies betrifft namentlich Art. 17 Abs. 1 ATSG (Anpassung an geänderte tatsächliche Verhältnisse), Art. 53 Abs. 1 ATSG (prozessuale Revision) und Art. 53 Abs. 2 ATSG (Wiedererwägung) - mit Wirkung ex nunc et pro futuro oder allenfalls ex tunc ( Art. 88bis Abs. 2 IVV ) -. Darauf wird verwiesen. Zu betonen bleibt, dass nach Art. 53 Abs. 1 ATSG formell rechtskräftige Verfügungen und Einspracheentscheide in Revision gezogen werden, wenn die versicherte Person oder der Versicherungsträger nach deren Erlass erhebliche neue Tatsachen entdeckt oder Beweismittel auffindet, deren Beibringung zuvor nicht möglich war. Zudem sind, wie die Vorinstanz richtig ausführt, gemäss Art. 25 Abs. 2 ATSG unrechtmässig bezogene Leistungen zurückzuerstatten. Wer Leistungen in gutem Glauben empfangen hat, muss sie nicht zurückerstatten, wenn eine grosse Härte vorliegt.</w:t>
      </w:r>
    </w:p>
    <w:p>
      <w:r>
        <w:rPr>
          <w:b/>
        </w:rPr>
        <w:t>E. 3.2</w:t>
      </w:r>
    </w:p>
    <w:p>
      <w:r>
        <w:t>Die Vorinstanz bestätigte im angefochtenen Entscheid die Verfügung der IV-Stelle vom 30. Juli 2012, mit welcher diese die Hilflosenentschädigung gestützt auf Art. 53 Abs. 1 ATSG rückwirkend aufhob und die ausgerichteten Leistungen gemäss Art. 25 ATSG fünf Jahre rückwirkend ab Verfügungsdatum zurückforderte. Sie stützte sich dabei auf das von ihr eingeholte polydisziplinäre Gerichtsgutachten der MEDAS Y.________ (vom 30. September 2013), dem sie zu Recht vollen Beweiswert zuerkannte ( BGE 125 V 351 V E. 3b/aa S. 352 f.), was denn auch nicht bestritten wird. Nach überzeugender Würdigung der Akten gelangte sie zum Schuss, dass aufgrund der konkreten Sachlage die Revisionsfrist eingehalten wurde, nachdem der IV-Stelle, welche nach Erhalt des Gutachtens der MEDAS X.________ vom 26. März 2012 die Ausrichtung der Hilflosenentschädigung am 26. April 2012 gestoppt habe, nicht vorgeworfen werden könne, mit der (fach) ärztlichen Beurteilung des Observierungsmaterials zu lange gewartet und dadurch die Revisionsfrist verpasst zu haben. Gestützt auf das Gerichtsgutachten erachtete sie es sodann als erwiesen, dass die Versicherte in nicht unerheblichem Masse aggraviere und hinsichtlich der für eine Hilflosenentschädigung relevanten Lebensbereiche ein selbstlimitierendes Verhalten präsentiert habe, welches bei seit Jahren gleich gebliebenem Gesundheitszustand zur Folge habe, dass die damalige Zusprechung einer Hilflosenentschädigung (mittleren Grades) als klar falsch zu qualifizieren sei. Wenn die IV-Stelle bereits vor Erlass der Verfügung vom 18. Oktober 2006 Kenntnis vom aggravatorischen und selbstlimitierenden Verhalten der Versicherten gehabt hätte, hätte sie keine Hilflosigkeit in vier Lebensbereichen anerkannt und dementsprechend auch keine Hilflosenentschädigung mittleren Grades zugesprochen. Aufgrund der Unterlagen über die Observierung im Zeitraum vom 19. bis 28. Juli 2011 - als unstreitiges neues Beweismittel im Sinne von Art. 53 Abs. 1 ATSG - und des Gerichtsgutachtens vom 30. September 2013 ist die Vorinstanz davon ausgegangen, dass damals keine Hilflosigkeit mittleren Grades vorgelegen hat und die Ausrichtung der Hilflosenentschädigung zu Unrecht erfolgt ist. Sodann verneinte sie das Vorliegen eines gutgläubigen Bezugs der Hilflosenentschädigung seit der Verfügung vom 18. Oktober 2006, nachdem gemäss dem Gerichtsgutachten von einem seit Jahren gleichgebliebenen Gesundheitszustand auszugehen sei und in diesem Gutachten aus dem Observationsmaterial ein (gewisses) aggravatorisches und selbstlimitierendes Verhalten abgeleitet werde. Bei dieser Sachlage könne mangels Gutgläubigkeit nicht von einer Rückforderung der zu Unrecht ausbezahlten Hilflosenentschädigung abgesehen werden. Diese Beurteilung ist nicht als bundesrechtswidrig zu beanstanden.</w:t>
      </w:r>
    </w:p>
    <w:p>
      <w:r>
        <w:rPr>
          <w:b/>
        </w:rPr>
        <w:t>E. 3.3</w:t>
      </w:r>
    </w:p>
    <w:p>
      <w:r>
        <w:t>Die Einwendungen der Beschwerdeführerin vermögen zu keinem andern Ergebnis zu führen. Sie sind nicht geeignet, die für das Bundesgericht grundsätzlich verbindliche vorinstanzliche Sachverhaltsfeststellung als offensichtlich unrichtig, als Ergebnis willkürlicher Beweiswürdigung oder als rechtsfehlerhaft nach Art. 95 BGG erscheinen zu lassen, oder sonstwie eine Bundesrechtswidrigkeit zu begründen. Insbesondere gilt festzustellen, dass die rückwirkende Aufhebung der Hilflosenentschädigung im konkreten Fall durch eine (prozessuale) Revision gemäss Art 53 Abs. 1 ATSG und nicht, wie die Beschwerdeführerin unter Verweis auf das Urteil 9C_500/2013 vom 29. November 2013 E. 4 anzunehmen scheint, durch eine Widererwägung gemäss Art. 53 Abs. 2 ATSG erfolgte. Insofern ist entgegen der Beschwerdeführerin für die rückwirkende Aufhebung der Hilflosenentschädigung eine Meldepflichtverletzung nicht erforderlich. Auf die diesbezüglichen umfangreichen Ausführungen ist mithin nicht weiter einzugehen. Gleiches gilt für die Vorbringen in Bezug auf die geltend gemachte zweifellose Unrichtigkeit der ursprünglichen Verfügung. Wenn die Beschwerdeführerin schliesslich geltend macht, aufgrund der echtzeitlichen Akten sei ihr der gute Glauben zuzubilligen, kann ihr ebenfalls nicht gefolgt werden. Gemäss Gerichtsgutachten ist davon auszugehen, dass keine entscheidende wesentliche Änderung des Gesundheitszustandes der Versicherten in den letzten zehn Jahren zu erkennen ist. Zudem wird explizit festgehalten, dass die früher attestierte Hilflosigkeit nicht nachvollziehbar sei. Aus dem Observationsmaterial ergibt sich gemäss Gutachten sodann ein (gewisses) aggravatorisches und selbstlimitierendes Verhalten. Wenn die Versicherte, wie die Vorinstanz für das Bundesgericht verbindlich feststellte, bei der erstmals am 22. August 2006 durchgeführten Abklärung betreffend Hilflosigkeit geltend machte, dass sie Hilfe beim An-/Auskleiden (seit Mai 2005), beim Zerkleinern der Nahrung (seit Jahren), beim Baden/ Duschen (seit Mai 2005) und bei der Pflege gesellschaftlicher Kontakte ("auf Begleitung Dritter angewiesen", seit Mai 2005) benötige und im Schreiben vom 12. November 2009festhielt, dass sie weiterhin in vier alltäglichen Lebensverrichtungen dauernd und in erheblicher Weise auf Hilfe Dritter angewiesen sei, nachdem dies die Abklärungsperson anlässlich der Überprüfung des Anspruchs vom 29. September 2009 verneinte, kann ihr mit Blick auf die gezeigte Ausgangslage keine Gutgläubigkeit zugebilligt werden. Umso weniger als sie noch anlässlich der Hilflosenabklärung vom 17. August 2010 an diesen Einschränkungen festhielt. Daran ändert nichts, dass es sich, wie geltend gemacht wird, auch bei guter Intelligenz um eine einfache Industriearbeiterin mit einfacher Ausbildung handelt. Nachdem die Höhe und die Modalitäten der Rückforderung nicht angefochten sind, ist darauf nicht weiter einzugehen. Die Beschwerde ist abzuweisen.</w:t>
      </w:r>
    </w:p>
    <w:p>
      <w:r>
        <w:rPr>
          <w:b/>
        </w:rPr>
        <w:t>E. 4</w:t>
      </w:r>
    </w:p>
    <w:p>
      <w:r>
        <w:t>Da die Beschwerde offensichtlich unbegründet ist, wird sie im Verfahren nach Art. 109 Abs. 2 lit. a BGG erledigt.</w:t>
      </w:r>
    </w:p>
    <w:p>
      <w:r>
        <w:rPr>
          <w:b/>
        </w:rPr>
        <w:t>E. 5</w:t>
      </w:r>
    </w:p>
    <w:p>
      <w:r>
        <w:t>Die Gerichtskosten sind dem Verfahrensausgang entsprechend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