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739/2011 vom 20. August 2012</w:t>
      </w:r>
    </w:p>
    <w:p>
      <w:r>
        <w:t>Bundesgericht, 2012-08-20, DE</w:t>
      </w:r>
    </w:p>
    <w:p>
      <w:r>
        <w:rPr>
          <w:b/>
        </w:rPr>
        <w:t xml:space="preserve">Quelle: </w:t>
      </w:r>
      <w:r>
        <w:t>https://mcp.opencaselaw.ch/entscheid/bger_8C_739_2011</w:t>
      </w:r>
    </w:p>
    <w:p>
      <w:r>
        <w:t>FR: TF 8C 739/2011 du 20 août 2012</w:t>
      </w:r>
    </w:p>
    <w:p>
      <w:r>
        <w:t>IT: TF 8C 739/2011 del 20 agosto 2012</w:t>
      </w:r>
    </w:p>
    <w:p>
      <w:pPr>
        <w:pStyle w:val="Heading2"/>
      </w:pPr>
      <w:r>
        <w:t>Regeste</w:t>
      </w:r>
    </w:p>
    <w:p>
      <w:r>
        <w:t>Unfallversicherung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Entscheid vom 29. August 2011 handelt es sich um einen Zwischenentscheid: Die Vorinstanz hob den Einspracheentscheid der Allianz vom 20. Mai 2010 auf und wies die Sache zur Neufestsetzung des Rentenanspruchs ab 1. November 2009 im Sinne der Erwägungen an die Versicherung zurück. Dabei stellte das kantonale Gericht für die Beschwerdeführerin verbindlich fest, dass die Versicherte weiterhin an teilweise unfallkausalen Beschwerden leidet. Könnte die Beschwerdeführerin diesen Entscheid nicht vor Bundesgericht anfechten, so hätte dies zur Folge, dass sie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die Beschwerde der Allianz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der Rentenanspruch der Beschwerdegegnerin ab 1. November 2009.</w:t>
      </w:r>
    </w:p>
    <w:p>
      <w:r>
        <w:rPr>
          <w:b/>
        </w:rPr>
        <w:t>E. 4.1</w:t>
      </w:r>
    </w:p>
    <w:p>
      <w:r>
        <w:t>Mit Verfügung vom 22. Dezember 2003 bestätigte die Beschwerdeführerin einen Vergleich, wonach der Beschwerdegegnerin ab dem 1. Juni 2002 eine Invalidenrente aufgrund eines unfallbedingten Invaliditätsgrades von 35 % zusteht. Wie zu Recht von keiner Partei bestritten wird, ist auch eine Rente, welche gestützt auf einen Vergleich ausbezahlt wird, grundsätzlich revidierbar (vgl. Urteil 8C_896/2009 vom 23. Juli 2010 E. 4.1, wonach selbst eine auf einem gerichtlich genehmigten Vergleich beruhende Leistung revidierbar ist).</w:t>
      </w:r>
    </w:p>
    <w:p>
      <w:r>
        <w:rPr>
          <w:b/>
        </w:rPr>
        <w:t>E. 4.2.1</w:t>
      </w:r>
    </w:p>
    <w:p>
      <w:r>
        <w:t>Die Revision einer Invalidenrente der Unfallversicherung richtet sich - vom vorliegend nicht erfüllten Spezialfall von Art. 22 UVG abgesehen - nach Art. 17 Abs. 1 ATSG . Gemäss dieser Norm wird die Rente dann von Amtes wegen oder auf Gesuch hin für die Zukunft entsprechend erhöht, herabgesetzt oder aufgehoben, wenn sich der Invaliditätsgrad einer Rentenbezügerin oder eines Rentenbezügers erheblich ändert.</w:t>
      </w:r>
    </w:p>
    <w:p>
      <w:r>
        <w:rPr>
          <w:b/>
        </w:rPr>
        <w:t>E. 4.2.2</w:t>
      </w:r>
    </w:p>
    <w:p>
      <w:r>
        <w:t>Eine revisionsrechtliche Rentenherabsetzung im Sinne von Art. 17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SVR 2004 IV Nr. 5 S. 13 E. 2, I 574/02; Urteil 9C_603/2008 vom 4. Februar 2009 E. 2.2 mit weiteren Hinweisen).</w:t>
      </w:r>
    </w:p>
    <w:p>
      <w:r>
        <w:rPr>
          <w:b/>
        </w:rPr>
        <w:t>E. 4.2.3</w:t>
      </w:r>
    </w:p>
    <w:p>
      <w:r>
        <w:t>Im Bereich der obligatorischen Unfallversicherung ist die erforderliche Erheblichkeit der Sachverhaltsänderung gegeben, wenn sich der Invaliditätsgrad um 5 % verändert ( BGE 133 V 545 E. 6.2 S. 547).</w:t>
      </w:r>
    </w:p>
    <w:p>
      <w:r>
        <w:rPr>
          <w:b/>
        </w:rPr>
        <w:t>E. 4.3</w:t>
      </w:r>
    </w:p>
    <w:p>
      <w:r>
        <w:t>Wie das kantonale Gericht nach umfassender Würdigung der medizinischen Akten - insbesondere durch Vergleich des Gutachtens der Medizinischen Abklärungsstelle X.________vom 2. Juni 2002 mit jenem des Begutachtungsinstituts Y.________ vom 20. Mai 2009 - überzeugend erwogen hat, verbesserte sich der Gesundheitszustand der Versicherten seit der Rentenzusprache erheblich. Dies gilt vorab für die Symptome der posttraumatischen Belastungsstörung und für die reaktive Anorexie, im geringeren Masse auch für die Depression. Entgegen den Vorbringen der Versicherten stellt das Gutachten des Begutachtungsinstituts Y.________ keine bloss abweichende Würdigung eines im Wesentlichen gleich gebliebenen Gesundheitszustandes dar.</w:t>
      </w:r>
    </w:p>
    <w:p>
      <w:r>
        <w:rPr>
          <w:b/>
        </w:rPr>
        <w:t>E. 4.4</w:t>
      </w:r>
    </w:p>
    <w:p>
      <w:r>
        <w:t>Gemäss dem Gutachten des Begutachtungsinstituts Y.________ vom 20. Mai 2009 sind die im Gutachtenszeitpunkt noch bestehenden Beschwerden nicht mehr auf ein Unfallereignis zurückzuführen. Dieses Verneinen einer Unfallkausalität wird von den Gutachtern jedoch nicht näher begründet. Die Vorinstanz hat diesbezüglich erwogen, die Unfallkausalität könne nicht gestützt auf diese Expertise verneint werden; da aufgrund des Gutachtens der Medizinischen Abklärungsstelle X.________ vom 2. Juni 2002 von einer teilweisen Unfallkausalität auszugehen und ein Wegfallen der Kausalität vom Unfallversicherer zu beweisen sei, erscheine es überwiegend wahrscheinlich, dass die Beschwerden weiterhin teilweise unfallkausal seien. Dieser Argumentation kann nur teilweise gefolgt werden: Zwar kann entgegen den Vorbringen der Beschwerdeführerin die Unfallkausalität nicht gestützt auf das Gutachten des Begutachtungsinstituts Y.________ verneint werden; immerhin stellt diese Expertise aber ein gewichtiges Indiz dafür dar, dass die Kausalität in der Zwischenzeit weggefallen sein könnte. Die Frage nach der Verteilung der Beweislast stellt sich im Sozialversicherungsrecht erst, wenn von weiteren Abklärungen kein verwertbares Ergebnis mehr zu erwarten wäre ( BGE 117 V 261 E. 3b S. 264; vgl. auch Urteil 8C_21/2012 vom 27. März 2012 E. 3.3). So verhält es sich indessen vorliegend nicht: Es erscheint vielmehr wahrscheinlich, dass durch eine gerichtliche Begutachtung die Frage, ob und in welchem Ausmass die bestehenden Beschwerden noch auf das Ereignis vom 15. November 1997 zurückzuführen sind, geklärt werden kann. Die Sache ist demnach unter Aufhebung des vorinstanzlichen Entscheides an das kantonale Gericht zurückzuweisen, damit dieses nach Einholen eines Gerichtsgutachtens zur Frage der Unfallkausalität über die Beschwerde der Versicherten gegen den Einspracheentscheid vom 20. Mai 2010 neu entscheide.</w:t>
      </w:r>
    </w:p>
    <w:p>
      <w:r>
        <w:rPr>
          <w:b/>
        </w:rPr>
        <w:t>E. 5</w:t>
      </w:r>
    </w:p>
    <w:p>
      <w:r>
        <w:t>Das Verfahren ist kostenpflichtig ( Art. 65 BGG ). Als unterliegende Partei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