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8C_738/2017 vom 31. Oktober 2017</w:t>
      </w:r>
    </w:p>
    <w:p>
      <w:r>
        <w:t>Bundesgericht, 2017-10-31, DE</w:t>
      </w:r>
    </w:p>
    <w:p>
      <w:r>
        <w:rPr>
          <w:b/>
        </w:rPr>
        <w:t xml:space="preserve">Quelle: </w:t>
      </w:r>
      <w:r>
        <w:t>https://mcp.opencaselaw.ch/entscheid/bger_8C_738_2017</w:t>
      </w:r>
    </w:p>
    <w:p>
      <w:r>
        <w:t>FR: TF 8C_738/2017 du 31 octobre 2017</w:t>
      </w:r>
    </w:p>
    <w:p>
      <w:r>
        <w:t>IT: TF 8C_738/2017 del 31 ottobre 2017</w:t>
      </w:r>
    </w:p>
    <w:p>
      <w:pPr>
        <w:pStyle w:val="Heading2"/>
      </w:pPr>
      <w:r>
        <w:t>Volltext</w:t>
      </w:r>
    </w:p>
    <w:p>
      <w:r>
        <w:t>Bundesgericht</w:t>
      </w:r>
    </w:p>
    <w:p>
      <w:r>
        <w:t>Tribunal fédéral</w:t>
      </w:r>
    </w:p>
    <w:p>
      <w:r>
        <w:t>Tribunale federale</w:t>
      </w:r>
    </w:p>
    <w:p>
      <w:r>
        <w:t>Tribunal federal</w:t>
      </w:r>
    </w:p>
    <w:p>
      <w:r>
        <w:t>8C_738/2017</w:t>
      </w:r>
    </w:p>
    <w:p>
      <w:r>
        <w:t>Urteil vom 31. Oktober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1. September 2017 (C-4756/2016).</w:t>
      </w:r>
    </w:p>
    <w:p>
      <w:r>
        <w:t>Nach Einsicht</w:t>
      </w:r>
    </w:p>
    <w:p>
      <w:r>
        <w:t>in die Beschwerde vom 2. Oktober 2017 gegen den am 20. Oktober 2017 nachgereichten Entscheid des Bundesverwaltungsgerichts vom 1.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diesen inhaltlichen Mindestanforderungen offensichtlich nicht genügt, beschränkt sich darin doch der Einleger auf die Forderung weiterer Abklärungen, ohne dabei auch nur ansatzweise aufzuzeigen, inwiefern der vorinstanzliche Entscheid auf der Basis unzureichender Sachverhaltsabklärungen ergangen sein soll,</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31.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