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738/2014 vom 15. Januar 2015</w:t>
      </w:r>
    </w:p>
    <w:p>
      <w:r>
        <w:t>Bundesgericht, 2015-01-15, DE</w:t>
      </w:r>
    </w:p>
    <w:p>
      <w:r>
        <w:rPr>
          <w:b/>
        </w:rPr>
        <w:t xml:space="preserve">Quelle: </w:t>
      </w:r>
      <w:r>
        <w:t>https://mcp.opencaselaw.ch/entscheid/bger_8C_738_2014</w:t>
      </w:r>
    </w:p>
    <w:p>
      <w:r>
        <w:t>FR: TF 8C 738/2014 du 15 janvier 2015</w:t>
      </w:r>
    </w:p>
    <w:p>
      <w:r>
        <w:t>IT: TF 8C 738/2014 del 15 gennaio 2015</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138 I 274 E. 1.6 S. 280 mit Hinweisen).</w:t>
      </w:r>
    </w:p>
    <w:p>
      <w:r>
        <w:rPr>
          <w:b/>
        </w:rPr>
        <w:t>E. 2</w:t>
      </w:r>
    </w:p>
    <w:p>
      <w:r>
        <w:t>Die Vorinstanz hat die Beschwerde der Versicherten abgewiesen, da aufgrund der medizinischen Aktenlage, namentlich gestützt auf das Gutachten des Dr. med. F.________ vom 15. Juli 2013, nicht mit dem Beweisgrad der überwiegenden Wahrscheinlichkeit als erstellt gelten könne, dass es sich bei den ab Frühjahr 2012 geklagten Beschwerden am Gesäss und an der unteren Lendenwirbelsäule um eine natürlich-kausale Folge des Unfallereignisses vom 7. Mai 2010 handle. Trotzdem hat das kantonale Gericht der Versicherten eine Parteientschädigung zu Lasten der Branchen Versicherung zugesprochen. Streitig und zu prüfen ist einzig, ob der vorinstanzliche Entscheid bezüglich Zusprechung einer Parteientschädigung vor Bundesrecht standhält.</w:t>
      </w:r>
    </w:p>
    <w:p>
      <w:r>
        <w:rPr>
          <w:b/>
        </w:rPr>
        <w:t>E. 3.1</w:t>
      </w:r>
    </w:p>
    <w:p>
      <w:r>
        <w:t>Gemäss Art. 61 lit. g ATSG hat die obsiegende Beschwerde führende Partei Anspruch auf Ersatz der Parteikosten, wobei diese vom Versicherungsgericht festgesetzt und ohne Rücksicht auf den Streitwert nach der Bedeutung der Streitsache und nach der Schwierigkeit des Prozesses bemessen wird. Nach der Rechtsprechung gilt es unter dem Gesichtspunkt des Anspruchs auf eine Parteientschädigung als Obsiegen, wenn die Rechtsstellung der Partei durch den Entscheid im Vergleich zu derjenigen im Administrativverfahren verbessert wird. Massgebend sind dabei die im Beschwerdeverfahren gestellten Anträge ( BGE 132 V 215 E. 6.2 S. 235; UELI KIESER, ATSG-Kommentar, 2. Aufl. 2009, N. 117 zu Art. 61 ATSG ).</w:t>
      </w:r>
    </w:p>
    <w:p>
      <w:r>
        <w:rPr>
          <w:b/>
        </w:rPr>
        <w:t>E. 3.2</w:t>
      </w:r>
    </w:p>
    <w:p>
      <w:r>
        <w:t>Die Versicherte hat im vorinstanzlichen Verfahren unbestrittenermassen nicht obsiegt, weshalb sie grundsätzlich keinen Anspruch auf eine Parteientschädigung hat.</w:t>
      </w:r>
    </w:p>
    <w:p>
      <w:r>
        <w:rPr>
          <w:b/>
        </w:rPr>
        <w:t>E. 4</w:t>
      </w:r>
    </w:p>
    <w:p>
      <w:r>
        <w:t>Trotz Unterliegens in der Sache kann einer Partei im Rahmen von Art. 61 lit. g ATSG eine Parteientschädigung zugesprochen werden, soweit die Gegenpartei die Kosten verursacht hat. Dies folgt aus dem allgemeinen Rechtsgrundsatz, wonach jene Partei für die Kosten des Verfahrens aufzukommen hat, welche es bewirkt hat, und hat bislang namentlich in Fällen der Verletzung des Anspruchs auf rechtliches Gehör und der daraus abgeleiteten Verpflichtung zur Entscheidbegründung Anwendung gefunden (vgl. SVR 2010 IV Nr. 51 S. 157, 9C_363/2009, E. 3.3; SVR 2010 IV Nr. 40 S. 126, 9C_1000/09, E. 2.2; SVR 2003 AlV Nr. 2 S. 4, C 313/01, E. 1d, nicht publ. in BGE 128 V 311 ; vgl. auch Urteil 8C_284/2014 vom 16. Dezember 2014 E. 4; UELI KIESER, a.a.O., N. 118 zu Art. 61 ATSG ).</w:t>
      </w:r>
    </w:p>
    <w:p>
      <w:r>
        <w:rPr>
          <w:b/>
        </w:rPr>
        <w:t>E. 5.1</w:t>
      </w:r>
    </w:p>
    <w:p>
      <w:r>
        <w:t>Die Vorinstanz hat die Zusprechung einer Parteientschädigung an die unterliegende Versicherte damit begründet, dass die Unfallversicherung den Anspruch auf rechtliches Gehör schwerwiegend verletzt habe, indem sie ohne vorgängige Information der Versicherten, welche sich mit einer erneuten Begutachtung nicht einverstanden erklärt hatte, ein Aktengutachten eingeholt und dieses vor Erlass des Einspracheentscheides nicht zur Stellungnahme zugestellt habe. Da der Rechtsvertreter der Versicherten jedoch nicht die Rückweisung der Streitsache zur formgerechten Durchführung des Beweisverfahrens, sondern einen Entscheid in der Sache beantragt habe, hielt das kantonale Gericht die Verletzung des Anspruchs auf rechtliches Gehör für geheilt, berücksichtigte diese indes bei der Frage der Kosten- und Entschädigungsfolgen.</w:t>
      </w:r>
    </w:p>
    <w:p>
      <w:r>
        <w:rPr>
          <w:b/>
        </w:rPr>
        <w:t>E. 5.2</w:t>
      </w:r>
    </w:p>
    <w:p>
      <w:r>
        <w:t>Die Beschwerdeführerin rügt eine Bundesrechtsverletzung, da gemäss Art. 61 lit. g ATSG nur die obsiegende Partei Anspruch auf Ersatz ihrer Parteikosten habe.</w:t>
      </w:r>
    </w:p>
    <w:p>
      <w:r>
        <w:rPr>
          <w:b/>
        </w:rPr>
        <w:t>E. 6.1</w:t>
      </w:r>
    </w:p>
    <w:p>
      <w:r>
        <w:t>Gemäss Art. 29 Abs. 2 BV und Art. 42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 279 E. 2.3 S. 282; 135 II 286 E. 5.1 S. 293; 132 V 368 E. 3.1 S. 370 mit Hinweisen).</w:t>
      </w:r>
    </w:p>
    <w:p>
      <w:r>
        <w:rPr>
          <w:b/>
        </w:rPr>
        <w:t>E. 6.2</w:t>
      </w:r>
    </w:p>
    <w:p>
      <w:r>
        <w:t>Das Akteneinsichtsrecht als Teil des Anspruchs auf rechtliches Gehör im Besonderen bezieht sich auf sämtliche verfahrensbezogenen Akten, die geeignet sind, Grundlage des Entscheids zu bilden. Die Akteneinsicht ist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der betroffenen Person selber überlassen sein, die Relevanz der Akten zu beurteilen ( BGE 132 V 387 E. 3.2 S. 389; Urteil 9C_369/2012 vom 2. November 2012 E. 6.2).</w:t>
      </w:r>
    </w:p>
    <w:p>
      <w:r>
        <w:rPr>
          <w:b/>
        </w:rPr>
        <w:t>E. 6.3</w:t>
      </w:r>
    </w:p>
    <w:p>
      <w:r>
        <w:t>Im Zusammenhang mit Expertengutachten beinhaltet das rechtliche Gehör insbesondere das Recht, Kenntnis vom Inhalt des Gutachtens zu nehmen und dem Experten ergänzende Fragen zu stellen, wobei Verwaltung oder Gericht von der Beantwortung der Ergänzungsfragen durch den Experten absehen können, wenn davon keine neuen Erkenntnisse zu erwarten sind (antizipierte Beweiswürdigung; BGE 130 II 425 E. 2.1 S. 428 f. ; 125 I 127 E. 6c/cc am Ende S. 135, 417 E. 7b S. 430; 124 V 94 E. 4b S. 94; 122 II 464 E. 4a S. 469; 122 III 219 E. 3c S. 223 f.; SVR 2014 UV Nr. 32 S. 106, 8C_834/2013, E. 5.1).</w:t>
      </w:r>
    </w:p>
    <w:p>
      <w:r>
        <w:rPr>
          <w:b/>
        </w:rPr>
        <w:t>E. 6.4</w:t>
      </w:r>
    </w:p>
    <w:p>
      <w:r>
        <w:t>Gemäss Art. 42 Satz 2 ATSG brauchen die Parteien nicht angehört zu werden vor Verfügungen, welche durch Einsprache anfechtbar sind. Spätestens im Einspracheverfahren hat die Verwaltung jedoch die allgemeinen Grundsätze des rechtlichen Gehörs zu wahren und folglich der versicherten Person oder ihrem Vertreter Einsicht in die Akten zu gewähren, auf deren Grundlage sie den Einspracheentscheid abstützt ( BGE 132 V 387 E. 4.1 S. 389).</w:t>
      </w:r>
    </w:p>
    <w:p>
      <w:r>
        <w:rPr>
          <w:b/>
        </w:rPr>
        <w:t>E. 7</w:t>
      </w:r>
    </w:p>
    <w:p>
      <w:r>
        <w:t>Indem die Beschwerdeführerin - wie sie selber einräumt - im Einspracheverfahren ohne vorgängige Information der Versicherten ein Aktengutachten erstellen liess und dieses dem Rechtsvertreter der Versicherten erst zusammen mit dem Einspracheentscheid zugestellt hat, hat sie den Anspruch der Beschwerdegegnerin auf rechtliches Gehör verletzt. Mit diesem Vorwurf setzt sich die Beschwerdeführerin nicht näher auseinander. Der vorinstanzliche Entscheid, wonach diese Verletzung des Anspruchs auf rechtliches Gehör die ausnahmsweise Zusprechung einer Parteientschädigung trotz Unterliegens begründet, verstösst nach Gesagtem nicht gegen Bundesrecht, weshalb die Beschwerde abzuweisen ist.</w:t>
      </w:r>
    </w:p>
    <w:p>
      <w:r>
        <w:rPr>
          <w:b/>
        </w:rPr>
        <w:t>E. 8</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