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8C_737/2015 vom 8. Januar 2016</w:t>
      </w:r>
    </w:p>
    <w:p>
      <w:r>
        <w:t>Bundesgericht, 2016-01-08, DE</w:t>
      </w:r>
    </w:p>
    <w:p>
      <w:r>
        <w:rPr>
          <w:b/>
        </w:rPr>
        <w:t xml:space="preserve">Quelle: </w:t>
      </w:r>
      <w:r>
        <w:t>https://mcp.opencaselaw.ch/entscheid/bger_8C_737_2015</w:t>
      </w:r>
    </w:p>
    <w:p>
      <w:r>
        <w:t>FR: TF 8C_737/2015 du 8 janvier 2016</w:t>
      </w:r>
    </w:p>
    <w:p>
      <w:r>
        <w:t>IT: TF 8C_737/2015 del 8 gennaio 2016</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2</w:t>
      </w:r>
    </w:p>
    <w:p>
      <w:r>
        <w:t>Streitig und zu prüfen ist, ob die Vorinstanz ihren Entscheid vom 22. September 2014 zu Recht nicht in Revision gezogen hat.</w:t>
      </w:r>
    </w:p>
    <w:p>
      <w:r>
        <w:rPr>
          <w:b/>
        </w:rPr>
        <w:t>E. 3.1</w:t>
      </w:r>
    </w:p>
    <w:p>
      <w:r>
        <w:t>Gemäss Art. 61 lit. i ATSG muss die Revision von Entscheiden des kantonalen Versicherungsgerichts wegen Entdeckung neuer Tatsachen oder Beweismittel oder wegen Einwirkung durch Verbrechen oder Vergehen gewährleistet sein.</w:t>
      </w:r>
    </w:p>
    <w:p>
      <w:r>
        <w:rPr>
          <w:b/>
        </w:rPr>
        <w:t>E. 3.2</w:t>
      </w:r>
    </w:p>
    <w:p>
      <w:r>
        <w:t>Nach § 18 Abs. 2 des basel-städtischen Sozialversicherungsgerichtsgesetzes (SVGG) ist das Revsionsgesuch bei Entdeckung neuer erheblicher Tatsachen oder Beweismittel innert 90 Tagen seit Entdeckung des Revisionsgrundes beim Sozialversicherungsgericht geltend zu machen.</w:t>
      </w:r>
    </w:p>
    <w:p>
      <w:r>
        <w:rPr>
          <w:b/>
        </w:rPr>
        <w:t>E. 4.1</w:t>
      </w:r>
    </w:p>
    <w:p>
      <w:r>
        <w:t>Der Beschwerdeführer begründet sein Revisionsgesuch mit einem Gutachten des Dr. med. B.________ vom 24. Oktober 2014. Dieses hatte der Versicherte gemäss den vorinstanzlichen Feststellungen bereits am 2. Juni 2014 in Auftrag geben. Das kantonale Gericht hat mit Blick auf das Datum der Auftragsvergabe die Frage, ob die Frist von 90 Tagen gemäss § 18 Abs. 2 SVGG durch die Eingabe vom 11. Dezember 2014 gewahrt wurde, offengelassen. Ob eine kantonale Regelung, nach welcher die Frist für die Einreichung eines Revisionsgesuchs bereits vor der Eröffnung des allenfalls zu revidierenden Entscheid beginnen kann zu laufen, vor Bundesrecht standhält, erscheint zweifelhaft, braucht indessen mit Blick auf die nachstehende Erwägung nicht näher geprüft zu werden.</w:t>
      </w:r>
    </w:p>
    <w:p>
      <w:r>
        <w:rPr>
          <w:b/>
        </w:rPr>
        <w:t>E. 4.2</w:t>
      </w:r>
    </w:p>
    <w:p>
      <w:r>
        <w:t>Rechtsprechungsgemäss liegt ein Revisionsgrund nach Art. 61 lit. i ATSG nicht bereits dann vor, wenn in einem neuen Gutachten die bekannten Sachverhaltselemente abweichend gewürdigt werden; dafür bräuchte es vielmehr neue Sachverhaltselemente, aus denen hervorgeht, dass der ursprüngliche Entscheid objektiv betrachtet fehlerbehaftet war. Insbesondere ist eine Revision nicht bereits dann gerechtfertigt, wenn ein später hinzugezogener Experte aus den im Zeitpunkt des ursprünglichen Entscheides bekannten Fakten andere Schlüsse als das Gericht zieht (vgl. Urteile 8C_108/2014 vom 24. September 2014 E. 3.2 und I 642/04 vom 6. Dezember 2004 E. 2.2 mit weiteren Hinweisen). Wie die Vorinstanz zutreffend erwogen hat, enthält das Gutachten von Dr. med. B.________ keine neuen Tatsachen, sondern würdigt einzig die bereits beim ursprünglichen Entscheid bekannten Tatsachen neu. Was der Beschwerdeführer dagegen vorbringt, gibt keinen Anlass zu einer vom kantonalen Gericht abweichenden Betrachtungsweise: Insbesondere legt der Versicherte in seiner Beschwerde selber dar, dass die von ihm in den Vordergrund gerückte Schmerzproblematik bereits Thema der medizinischen Berichte der Klinik C.________ war, sie damit im Zeitpunkt des ursprünglichen Entscheides dem kantonalen Gericht bereits bekannt war. Somit erfüllt das Gutachten des Dr. med. B.________ die Voraussetzungen für einen Revisionsgrund im Sinne von Art. 61 lit. i ATSG nicht; die Beschwerde des Versicherten ist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