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8C_737/2014 vom 23. Februar 2015</w:t>
      </w:r>
    </w:p>
    <w:p>
      <w:r>
        <w:t>Bundesgericht, 2015-02-23, DE</w:t>
      </w:r>
    </w:p>
    <w:p>
      <w:r>
        <w:rPr>
          <w:b/>
        </w:rPr>
        <w:t xml:space="preserve">Quelle: </w:t>
      </w:r>
      <w:r>
        <w:t>https://mcp.opencaselaw.ch/entscheid/bger_8C_737_2014</w:t>
      </w:r>
    </w:p>
    <w:p>
      <w:r>
        <w:t>FR: TF 8C_737/2014 du 23 février 2015</w:t>
      </w:r>
    </w:p>
    <w:p>
      <w:r>
        <w:t>IT: TF 8C_737/2014 del 23 febbraio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2.3</w:t>
      </w:r>
    </w:p>
    <w:p>
      <w:r>
        <w:t>Streitig und zu prüfen ist, ob die Vorinstanz Bundesrecht verletzte, als sie einen Anspruch des Beschwerdegegners auf eine ganze Rente auch über den 1. Februar 2012 hinaus bestätigte.</w:t>
      </w:r>
    </w:p>
    <w:p>
      <w:r>
        <w:rPr>
          <w:b/>
        </w:rPr>
        <w:t>E. 3.1</w:t>
      </w:r>
    </w:p>
    <w:p>
      <w:r>
        <w:t>Das kantonale Gericht hat in umfassender Würdigung der medizinischen Akten, insbesondere unter Einbezug des Gerichtsgutachtens des Dr. med. B.________ vom 4. September 2013 (mit Ergänzungen vom 14. März 2014) für das Bundesgericht grundsätzlich verbindlich festgestellt, dass sich der Gesundheitszustand des Versicherten in der Zeit zwischen dem 18. September 2003 und dem 7. Dezember 2011 nicht wesentlich verbessert hat. Was die Beschwerdeführerin gegen diese Feststellung vorbringt, vermag sie nicht als bundesrechtswidrig erscheinen zu lassen. Bei Vorliegen eines Gerichtsgutachtens darf das Gericht rechtsprechungsgemäss "nicht ohne zwingende Gründe" von den Einschätzungen des medizinischen Experten abweichen ( BGE 135 V 465 E. 4.4 S. 469). Dies gilt auch dann, wenn das Gericht in antizipierter Beweiswürdigung auf das Einholen dieses Gutachtens hätte verzichten können (vgl. Urteil 8C_595/2012 vom 18. Februar 2013 E. 3.3). Entgegen den Vorbringen der Beschwerdeführerin ist daher nicht weiter zu prüfen, ob das Einholen des Gerichtsgutachtens für die Erledigung des Streites notwendig war. Dass im Weiteren die IV-Stelle die Richtigkeit der Diagnosen des Gerichtsgutachters anzweifelt, stellt ebenfalls keinen zwingenden Grund dar, von der Einschätzung des Experten abzuweichen.</w:t>
      </w:r>
    </w:p>
    <w:p>
      <w:r>
        <w:rPr>
          <w:b/>
        </w:rPr>
        <w:t>E. 3.2</w:t>
      </w:r>
    </w:p>
    <w:p>
      <w:r>
        <w:t>Soweit die Beschwerdeführerin vorbringt, die Invalidenrente des Versicherten hätte auch ohne Verbesserung des Gesundheitszustandes gestützt auf Art. 7b Abs. 1 in Verbindung mit Art. 7 Abs. 2 lit. b IVG gekürzt werden können, ist daran zu erinnern, dass eine solche Vorgehensweise die Durchführung eines Mahn- und Bedenkzeitverfahrens nach Art. 21 Abs. 4 ATSG voraussetzen würde. Auch wenn der Versicherte im Jahre 2009 einmalig auf diese Gesetzesbestimmung aufmerksam gemacht wurde, so wurde doch nie ein entsprechendes Verfahren korrekt durchgeführt.</w:t>
      </w:r>
    </w:p>
    <w:p>
      <w:r>
        <w:rPr>
          <w:b/>
        </w:rPr>
        <w:t>E. 3.3</w:t>
      </w:r>
    </w:p>
    <w:p>
      <w:r>
        <w:t>Soweit sich die IV-Stelle auf die Schlussbestimmungen der Änderung des IVG vom 18. März 2011 (6. IV-Revision, erstes Massnahmenpaket) beruft, legt sie nicht dar, inwieweit eine Herabsetzung der laufenden Rente gestützt auf diese Bestimmungen möglich sein sollte. Dies ist auch nicht ersichtlich, ist doch das Leiden des Versicherten nach den letztinstanzlich unbestritten gebliebenen Erwägungen des kantonalen Gerichts nicht durch eine zumutbare Willensanstrengung im Sinne von BGE 130 V 352 überwindbar.</w:t>
      </w:r>
    </w:p>
    <w:p>
      <w:r>
        <w:rPr>
          <w:b/>
        </w:rPr>
        <w:t>E. 3.4</w:t>
      </w:r>
    </w:p>
    <w:p>
      <w:r>
        <w:t>Liegt somit bezüglich der ursprünglichen Rentenzusprache kein Rückkommenstitel vor, so hat die Vorinstanz zu Recht die ganze Rente des Versicherten auch über den 1. Februar 2012 hinaus bestätigt. Die Beschwerde der IV-Stelle ist dementsprechend abzuweisen.</w:t>
      </w:r>
    </w:p>
    <w:p>
      <w:r>
        <w:rPr>
          <w:b/>
        </w:rPr>
        <w:t>E. 4</w:t>
      </w:r>
    </w:p>
    <w:p>
      <w:r>
        <w:t>Dem Prozessausgang entsprechend sind die Gerichtskosten der unterliegenden IV-Stelle aufzuerlegen ( Art. 66 Abs. 1 BGG ). Diese hat dem Beschwerdegegner überdies eine Parteientschädigung zu bezahlen ( Art. 68 Abs. 1 und 2 BGG ; vgl. auch BGE 135 V 473 ).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