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737/2012 vom 27. Mai 2013</w:t>
      </w:r>
    </w:p>
    <w:p>
      <w:r>
        <w:t>Bundesgericht, 2013-05-27, DE</w:t>
      </w:r>
    </w:p>
    <w:p>
      <w:r>
        <w:rPr>
          <w:b/>
        </w:rPr>
        <w:t xml:space="preserve">Quelle: </w:t>
      </w:r>
      <w:r>
        <w:t>https://mcp.opencaselaw.ch/entscheid/bger_8C_737_2012</w:t>
      </w:r>
    </w:p>
    <w:p>
      <w:r>
        <w:t>FR: TF 8C 737/2012 du 27 mai 2013</w:t>
      </w:r>
    </w:p>
    <w:p>
      <w:r>
        <w:t>IT: TF 8C 737/2012 del 27 maggio 2013</w:t>
      </w:r>
    </w:p>
    <w:p>
      <w:pPr>
        <w:pStyle w:val="Heading2"/>
      </w:pPr>
      <w:r>
        <w:t>Regeste</w:t>
      </w:r>
    </w:p>
    <w:p>
      <w:r>
        <w:t>Invalidenversicherung (Arbeitsunfähigkeit, Invalidenrente) | Invalidenversicherung</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Grundlagen über die Erwerbsunfähigkeit ( Art. 7 ATSG ), die Invalidität ( Art. 4 Abs. 1 IVG ; vgl. auch Art. 8 Abs. 1 ATSG ), den Einkommensvergleich ( Art. 16 ATSG ), den Rentenanspruch ( Art. 28 Abs. 2 IVG ), den Beweisgrad der überwiegenden Wahrscheinlichkeit ( BGE 134 V 109 E. 9.5. S. 125), den Untersuchungsgrundsatz und den Beweiswert ärztlicher Akten (E. 1 hievor) sowie den Grundsatz der freien Beweiswürdigung ( Art. 61 lit. c ATSG ; BGE 132 V 393 E. 2.1 S. 396, 125 V 351 E. 3a S. 352) richtig dargelegt. Darauf wird verwiesen.</w:t>
      </w:r>
    </w:p>
    <w:p>
      <w:r>
        <w:rPr>
          <w:b/>
        </w:rPr>
        <w:t>E. 3.1</w:t>
      </w:r>
    </w:p>
    <w:p>
      <w:r>
        <w:t>Die Vorinstanz hat in Würdigung der medizinischen Aktenlage mit einlässlicher Begründung - auf die verwiesen wird - erwogen, dass das Gutachten des Instituts Y.________ vom 13. Dezember 2010 die Anforderungen an eine beweiskräftige medizinische Grundlage erfülle, weshalb darauf abzustellen sei. Demnach sei die Versicherte in der bisherigen Arbeit als Kauffrau und in einer anderen leidensangepassten beruflichen Tätigkeit zu 70 % arbeits- und leistungsfähig. Diesem vorinstanzlichen Ergebnis ist beizupflichten. Die Versicherte erhebt keine Rügen, die zur Bejahung einer Rechtsverletzung führen oder die vorinstanzlichen Sachverhaltsfeststellungen zu ihrem Gesundheitszustand und ihrer Arbeitsfähigkeit als offensichtlich unrichtig oder als Ergebnis willkürlicher Beweiswürdigung oder als rechtsfehlerhaft nach Art. 95 BGG erscheinen lassen (E. 1 hievor). Festzuhalten ist insbesondere Folgendes:</w:t>
      </w:r>
    </w:p>
    <w:p>
      <w:r>
        <w:rPr>
          <w:b/>
        </w:rPr>
        <w:t>E. 3.2</w:t>
      </w:r>
    </w:p>
    <w:p>
      <w:r>
        <w:t>Die Versicherte rügt, das Gutachten des Instituts Y.________ vom 13. Dezember 2010 stelle eine unzulässige "second opinion" dar. Dieser Einwand ist unzutreffend. Dr. med. K.________, Regionaler Ärztlicher Dienst (RAD) der IV-Stelle, führte in der Stellungnahme vom 21. Juli 2010 aus, aufgrund der eingeholten Berichte lasse sich ein hinreichend klares medizinisches Bild nicht erkennen, aus dem die gestellten Fragen in der nunmehr erfolgenden Rentenprüfung nachvollziehbar und schlüssig beantwortet werden könnten; es sei deshalb eine externe medizinische Begutachtung erforderlich (zur Aufgabe des RAD, die Leistungsfähigkeit zu beurteilen vgl. Art. 59 Abs. 2 und Abs. 2bis IVG ; Art. 49 IVV ; SVR 2011 IV Nr. 2 S. 7 E. 2.2 [9C_904/2009]; Urteil 9C_838/2012 vom 26. November 2012 E. 2.2.1). Der IV-Stelle kann es demnach nicht zum Vorwurf gereichen, dass sie zusätzlich beim Institut Y.________ ein Gutachten einholte. Von einer unzulässigen "second opinion" kann mithin nicht gesprochen werden (hiezu vgl. SVR 2007 UV Nr. 33 S. 111 E. 4.1 f [U 571/06]; siehe auch BGE 136 V 156 E. 3.3 S. 158).</w:t>
      </w:r>
    </w:p>
    <w:p>
      <w:r>
        <w:rPr>
          <w:b/>
        </w:rPr>
        <w:t>E. 3.3</w:t>
      </w:r>
    </w:p>
    <w:p>
      <w:r>
        <w:t>Die Versicherte macht weiter geltend, es liege eine mangelnde Würdigung der medizinischen Expertisen im Lichte von BGE 137 V 210 vom 28. Juni 2011 vor. Wurde ein entscheidungsrelevantes Gutachten - wie hier das Gutachten des Instituts Y.________ vom 13. Dezember 2010 - vor diesem Urteil in Auftrag gegeben und fanden die darin definierten Verfahrensstandards noch keine Anwendung, so wäre es nicht verhältnismässig, einem solchen Gutachten, ungeachtet seiner Überzeugungskraft, den Beweiswert abzusprechen ( BGE 137 V 210 E. 6 Ingress S. 266). Bildet ein nach altem Standard in Auftrag gegebenes Gutachten die massgebende Entscheidungsgrundlage, so führt dieser Umstand daher nicht zwangsläufig zu einer neuen Begutachtung, sondern findet vorab Beachtung in der Beweiswürdigung. Ein Gerichtsgutachten muss eingeholt werden, wenn objektive Kriterien erhebliche Zweifel an der Schlüssigkeit einer solchen ärztlichen Feststellung erwecken (Urteil 9C_977/2012 vom 28. März 2013 E. 3.1). Dies trifft hier nicht zu, wie die folgenden Erwägungen zeigen.</w:t>
      </w:r>
    </w:p>
    <w:p>
      <w:r>
        <w:rPr>
          <w:b/>
        </w:rPr>
        <w:t>E. 3.4</w:t>
      </w:r>
    </w:p>
    <w:p>
      <w:r>
        <w:t>Die Versicherte bringt vor, das psychiatrische Begutachtungsgespräch habe nur 40 Minuten gedauert. Praxisgemäss kommt es für den Aussagegehalt eines medizinischen Gutachtens nicht auf die Dauer der Untersuchung an; massgebend ist in erster Linie, ob die Expertise inhaltlich vollständig und im Ergebnis schlüssig ist. Immerhin muss der für eine psychiatrische Untersuchung zu betreibende zeitliche Aufwand der Fragestellung und der zu beurteilenden Psychopathologie angemessen sein (Urteil 8C_768/2011 vom 7. Februar 2012 E. 5.3.2). Mit Blick auf die umfangreichen Vorakten erscheint der für die psychiatrische Begutachtung betriebene zeitliche Untersuchungsaufwand hinreichend. Es bestehen keine konkreten Hinweise, dass sich die Untersuchungsdauer negativ auf die Qualität des Gutachtens des Instituts Y.________ ausgewirkt hätte.</w:t>
      </w:r>
    </w:p>
    <w:p>
      <w:r>
        <w:rPr>
          <w:b/>
        </w:rPr>
        <w:t>E. 3.5</w:t>
      </w:r>
    </w:p>
    <w:p>
      <w:r>
        <w:t>Die Versicherte wendet ein, im Gutachten des Instituts Y.________ werde nicht erklärt, weshalb die zusätzlich diagnostizierte Neurasthenie (ICD-10 F48.0) keine weitere Beachtung finde. Hierzu hat die Vorinstanz richtig erkannt, dass diese psychische Krankheit von keinem Facharzt für Psychiatrie, sondern lediglich vom neurologischen Gutachter des Instituts Y.________ als blosse Verdachtsdiagnose gestellt wurde, weshalb deren Nichtberücksichtigung bei der Beurteilung der Arbeitsfähigkeit nicht zu beanstanden ist.</w:t>
      </w:r>
    </w:p>
    <w:p>
      <w:r>
        <w:rPr>
          <w:b/>
        </w:rPr>
        <w:t>E. 3.6</w:t>
      </w:r>
    </w:p>
    <w:p>
      <w:r>
        <w:t>Die Versicherte bringt vor, sie habe genaue Angaben zur Häufigkeit ihrer Migräne-Anfälle gemacht; es handle sich um 10 bis 20 Anfallstage pro Monat. Die Berichte aus den diversen Integrationsmassnahmen gäben ein Bild über die Häufigkeit ihrer krankheitsbedingten Absenzen. Mit diesen Dokumenten setze sich das Institut Y.________ überhaupt nicht auseinander. Diese Einwände sind unzutreffend. Das Gutachten des Instituts Y.________ vom 13. Dezember 2010 erging in Kenntnis der Berichte der Werkstatt S.________ und der Stiftung P.________ über die dort durchgeführten praktischen Integrationsmassnahmen. Im Gutachten des Instituts Y.________ wurde ausgeführt, die Versicherte habe gemäss eigener Aussage 2 bis 5 Anfallstage im Monat. Die Vorinstanz hat konkret aufgezeigt, dass ein Arbeitsausfall von zwei bis fünf Tagen pro Monat aufgrund der übrigen Akten als richtig erscheint, was die Versicherte nicht substanziiert bestreitet. In diesem Lichte ist es im Rahmen der eingeschränkten bundesgerichtlichen Kognition nicht zu beanstanden, dass die Vorinstanz auf das Gutachten des Instituts Y.________ abgestellt hat.</w:t>
      </w:r>
    </w:p>
    <w:p>
      <w:r>
        <w:rPr>
          <w:b/>
        </w:rPr>
        <w:t>E. 3.7</w:t>
      </w:r>
    </w:p>
    <w:p>
      <w:r>
        <w:t>Nicht stichhaltig ist die Berufung der Versicherten auf das von ihr in Auftrag gegebene Kurzgutachten des Psychiaters Dr. med. P.________ vom 30. August 2011. Denn es überzeugt nicht, wenn er von einer maximal 50%igen Arbeitsfähigkeit ausging, aber gleichzeitig ausführte, er könne nicht beurteilen, in wie viel Prozenten die Arbeitsunfähigkeit genau bestehe.</w:t>
      </w:r>
    </w:p>
    <w:p>
      <w:r>
        <w:rPr>
          <w:b/>
        </w:rPr>
        <w:t>E. 4</w:t>
      </w:r>
    </w:p>
    <w:p>
      <w:r>
        <w:t>In erwerblicher Hinsicht (zur diesbezüglichen bundesgerichtlichen Kognition vgl. BGE 132 V 393 E. 3.3 S. 399) ist unbestritten, dass das ohne Gesundheitsschaden erzielbare Valideneinkommen der Versicherten als kaufmännische Angestellte anhand des LSE-Tabellenlohns 2008 (Zeitpunkt des allfälligen Rentenbeginns; Art. 29 Abs. 1 und 3 IVG ) zu bestimmen ist, zumal sie seit 2003 nicht mehr arbeitete und sich aus ihrem früheren Lohnverlauf keine verlässlichen konkreten Anhaltspunkte für den hier massgebenden Validenlohn ergeben (Urteile 8C_249/2010 E. 7.1 und I 169/04 vom 17. Januar 2005 E. 6.2.2). Die Vorinstanz ging vom LSE-Anforderungsniveau 3 des Arbeitsplatzes (Berufs- und Fachkenntnisse vorausgesetzt) aus. Die Versicherte wendet ein, sie hätte gerade angesichts ihrer guten Noten bei voller Gesundheit den üblichen Werdegang einer Sekretariatsangestellten absolviert, sodass sie heute im Alter von 40 Jahren doch ein ihrer Intelligenz angemessenes Arbeitsumfeld hätte und damit auch selbstständige Arbeiten erledigen könnte. Sie verlangt mithin beim Valideneinkommen den Beizug des LSE-Anforderungsniveaus 2 (Verrichtung selbstständiger und qualifizierter Arbeiten). Von welchem Anforderungsniveau bei der Bestimmung des Einkommens aufgrund der LSE auszugehen ist, ist eine frei überprüfbare Rechtsfrage (SVR 2008 IV Nr. 4 S. 9 E. 4.2.2 [I 732/06]; Urteil 8C_357/2012 vom 17. August 2012 E. 5.2). Es sind keine Gründe ersichtlich, vom Anforderungsniveau 2 auszugehen, zumal die Versicherte nicht substanziiert geltend macht, sie hätte als Gesunde überwiegend wahrscheinlich entsprechende Weiterbildungen absolviert. Allein ihr Notendurchschnitt 5 bei der Lehrabschlussprüfung rechtfertigt nicht das Abstellen auf ein höheres Anforderungsniveau. Im Übrigen ist der vorinstanzliche Einkommensvergleich, der zu einem rentenausschliessenden Invaliditätsgrad von 37 % führt (vgl. Art. 28 Abs. 2 IVG ), unbestritten, weshalb der kantonale Entscheid zu bestätigen ist.</w:t>
      </w:r>
    </w:p>
    <w:p>
      <w:r>
        <w:rPr>
          <w:b/>
        </w:rPr>
        <w:t>E. 5</w:t>
      </w:r>
    </w:p>
    <w:p>
      <w:r>
        <w:t>Die unterliegende Versicherte trägt die Verfahrenskosten ( Art. 66 Abs. 1, Art. 68 Abs. 2 BGG ). Die unentgeltliche Rechtspflege kann ihr gewährt werden; sie hat der Gerichtskasse Ersatz zu leisten, wenn sie später dazu in der Lage ist ( Art. 64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