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8C_736/2010 vom 22. Dezember 2010</w:t>
      </w:r>
    </w:p>
    <w:p>
      <w:r>
        <w:t>Bundesgericht, 2010-12-22, DE</w:t>
      </w:r>
    </w:p>
    <w:p>
      <w:r>
        <w:rPr>
          <w:b/>
        </w:rPr>
        <w:t xml:space="preserve">Quelle: </w:t>
      </w:r>
      <w:r>
        <w:t>https://mcp.opencaselaw.ch/entscheid/bger_8C_736_2010</w:t>
      </w:r>
    </w:p>
    <w:p>
      <w:r>
        <w:t>FR: TF 8C_736/2010 du 22 décembre 2010</w:t>
      </w:r>
    </w:p>
    <w:p>
      <w:r>
        <w:t>IT: TF 8C_736/2010 del 22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Invalidenrente des Versicherten in der Zeit, in der er sich in Untersuchungshaft befand, vollständig zu sistieren oder ob sie für diese Zeit lediglich hälftig auszuzahlen ist.</w:t>
      </w:r>
    </w:p>
    <w:p>
      <w:r>
        <w:rPr>
          <w:b/>
        </w:rPr>
        <w:t>E. 3</w:t>
      </w:r>
    </w:p>
    <w:p>
      <w:r>
        <w:t>Art. 21 ATSG bestimmt unter der Überschrift "Kürzung und Verweigerung von Leistungen" was folgt:</w:t>
      </w:r>
    </w:p>
    <w:p>
      <w:r>
        <w:t>"Hat die versicherte Person den Versicherungsfall vorsätzlich oder bei vorsätzlicher Ausübung eines Verbrechens oder Vergehens herbeigeführt oder verschlimmert, so können ihr die Geldleistungen vorübergehend oder dauernd gekürzt oder in schweren Fällen verweigert werden (Abs. 1).</w:t>
      </w:r>
    </w:p>
    <w:p>
      <w:r>
        <w:t>Geldleistungen für Angehörige oder Hinterlassene werden nur gekürzt oder verweigert, wenn diese den Versicherungsfall vorsätzlich oder bei vorsätzlicher Ausübung eines Verbrechens oder Vergehens herbeigeführt haben (Abs. 2).</w:t>
      </w:r>
    </w:p>
    <w:p>
      <w:r>
        <w:t>Soweit Sozialversicherungen mit Erwerbsersatzcharakter keine Geldleistungen für Angehörige vorsehen, kann höchstens die Hälfte der Geldleistungen nach Absatz 1 gekürzt werden. Für die andere Hälfte bleibt die Kürzung nach Absatz 2 vorbehalten (Abs. 3).</w:t>
      </w:r>
    </w:p>
    <w:p>
      <w:r>
        <w:t>(Abs. 4)</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 (Abs. 5)."</w:t>
      </w:r>
    </w:p>
    <w:p>
      <w:r>
        <w:rPr>
          <w:b/>
        </w:rPr>
        <w:t>E. 4.1</w:t>
      </w:r>
    </w:p>
    <w:p>
      <w:r>
        <w:t>Rechtsprechungsgemäss ist Art. 21 Abs. 3 ATSG , welcher die Kürzung der Leistungen lediglich um die Hälfte vorsieht, auf die Renten der Invalidenversicherung nicht anwendbar (SVR 2010 IV Nr. 20 S. 61, 9C_256/2009). Das Bundesgericht hat in diesem Urteil erwogen, nach Art. 21 Abs. 3 Satz 1 ATSG sei diese lediglich hälftige Kürzung auf Leistungen von Sozialversicherungen mit Erwerbsersatzcharakter beschränkt, die keine Geldleistungen für Angehörige vorsehen. Dies treffe für die Invalidenversicherung auch nach dem Wegfall der Zusatzrenten für die Ehegatten mit Inkrafttreten der 5. IV-Revision am 1. Januar 2008 nicht zu. Denn nach Art. 35 Abs. 1 in Verbindung mit Art. 38 Abs. 1 IVG haben Männer und Frauen, denen eine Invalidenrente zusteht, für jedes Kind, das im Falle ihres Todes eine Waisenrente der AHV beanspruchen könnte, weiterhin Anspruch auf Kinderrenten in der Höhe von 40 % der entsprechenden Invalidenrente. Dabei handelt es sich um Geldleistungen für Angehörige im Sinne von Art. 21 Abs. 3 Satz 1 ATSG (Ueli Kieser, ATSG-Kommentar, 2. Aufl. 2009, Art. 21 N. 50 und N. 57 f.).</w:t>
      </w:r>
    </w:p>
    <w:p>
      <w:r>
        <w:rPr>
          <w:b/>
        </w:rPr>
        <w:t>E. 4.2</w:t>
      </w:r>
    </w:p>
    <w:p>
      <w:r>
        <w:t>Entgegen den vorinstanzlichen Erwägungen besteht kein Anlass, auf diese erst kürzlich begründete Rechtsprechung zurückzukommen. Die Frage, ob Art. 21 Abs. 3 ATSG grundsätzlich auf Sistierungen im Rahmen von Art. 21 Abs. 5 ATSG anwendbar ist, wurde im erwähnten Urteil ausdrücklich offengelassen (SVR 2010 IV Nr. 20 S. 61, 9C_256/2009 E. 4), nachdem eine solche Anwendbarkeit - welche im Widerstreit zu Wortlaut und Systematik der Norm stehen würde - vom BSV bezweifelt wurde (erwähntes Urteil E. 3.2). Auch wenn die Empfehlung der ad-hoc-Kommission Schaden UVG Nr. 1/2004, zu der sich das Bundesgericht bis anhin nicht äussern musste, davon ausgeht, dass unfallversicherungsrechtliche Invalidenrenten bei Haft nicht vollständig zu sistieren sind, so kann doch nicht gesagt werden, Art. 21 Abs. 3 ATSG finde unbestrittenermassen auf nach Art. 21 Abs. 5 ATSG zu sistierende Renten der Unfallversicherung und der Militärversicherung Anwendung. Sinn der Sistierung der Rentenleistungen inhaftierter Personen ist es, diese nicht ungerechtfertigt gegenüber nicht invaliden Häftlingen zu privilegieren (vgl. Urteil 9C_20/2008 vom 21. August 2008 E. 4 mit weiteren Hinweisen und ERWIN MURER, Die Einstellung der Auszahlung von Invalidenrenten der Sozialversicherung während des Straf- und Massnahmevollzugs, in: FS Franz Riklin, Zürich 2007, S. 153 ff., S. 159). Solche verlieren in der Regel auch dann ihr Erwerbseinkommen, wenn sie für Angehörige zu sorgen haben. Es ist deshalb nicht einzusehen, weshalb Bezüger von Geldleistungen mit Erwerbsersatzcharakter in einigen Sozialversicherungen besser zu stellen wären als in anderen. Ob eine allenfalls abweichende Praxis in der Unfall- oder Militärversicherung bundesrechtskonform wäre, braucht indessen nicht weiter geprüft zu werden, da der Beschwerdeführer aus einer solchen ohnehin nichts zu seinen Gunsten ableiten könnte. Die Invalidenversicherung kennt im Unterschied zu den beiden anderen genannten Versicherungen nach wie vor nicht einstellbare Geldleistungen für Angehörige, weshalb der vorinstanzliche Hinweis auf das Gleichbehandlungsgebot von vornherein fehl geht. Somit stellt das vom kantonalen Gericht angeführte "systematische Auslegungselement" so wenig einen Grund dar, vom Wortlaut des Art. 21 Abs. 3 ATSG abzuweichen, wie die vorinstanzlichen Hinweise auf die Materialien, aus denen lediglich hervorgeht, dass die Kinderrenten (und, als es diese noch gab, die Zusatzrenten) nicht sistiert werden dürfen.</w:t>
      </w:r>
    </w:p>
    <w:p>
      <w:r>
        <w:rPr>
          <w:b/>
        </w:rPr>
        <w:t>E. 4.3</w:t>
      </w:r>
    </w:p>
    <w:p>
      <w:r>
        <w:t>Ist an der Rechtsprechung festzuhalten, dass Renten der Invalidenversicherung nicht unter den Tatbestand von Art. 21 Abs. 3 ATSG fallen, so ist die Rente des Versicherten nicht bloss um die Hälfte zu kürzen, sondern für die Dauer der Untersuchungshaft vollständig zu sistieren. Die Beschwerde der IV-Stelle ist demnach gutzuheissen und der kantonale Entscheid ist aufzuheben.</w:t>
      </w:r>
    </w:p>
    <w:p>
      <w:r>
        <w:rPr>
          <w:b/>
        </w:rPr>
        <w:t>E. 5</w:t>
      </w:r>
    </w:p>
    <w:p>
      <w:r>
        <w:t>Bei diesem Verfahrensausgang sind die Gerichtskosten dem Beschwerdegegner aufzuerlegen ( Art. 66 Abs. 1 Satz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