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8C_735/2019 vom 25. Februar 2020</w:t>
      </w:r>
    </w:p>
    <w:p>
      <w:r>
        <w:t>Bundesgericht, 2020-02-25, DE</w:t>
      </w:r>
    </w:p>
    <w:p>
      <w:r>
        <w:rPr>
          <w:b/>
        </w:rPr>
        <w:t xml:space="preserve">Quelle: </w:t>
      </w:r>
      <w:r>
        <w:t>https://mcp.opencaselaw.ch/entscheid/bger_8C_735_2019</w:t>
      </w:r>
    </w:p>
    <w:p>
      <w:r>
        <w:t>FR: TF 8C_735/2019 du 25 février 2020</w:t>
      </w:r>
    </w:p>
    <w:p>
      <w:r>
        <w:t>IT: TF 8C_735/2019 del 25 febbraio 2020</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und 2. BGG; BGE 145 V 57 E. 4.2 S. 61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und zu prüfen ist, ob das kantonale Gericht Bundesrecht verletzt hat, indem es die Nichteintretensverfügung der IV-Stelle vom 21. November 2016 auf ein am 14. März 2016 gestelltes Rentenerhöhungsgesuch des Beschwerdeführers bestätigte.</w:t>
      </w:r>
    </w:p>
    <w:p>
      <w:r>
        <w:rPr>
          <w:b/>
        </w:rPr>
        <w:t>E. 3.1</w:t>
      </w:r>
    </w:p>
    <w:p>
      <w:r>
        <w:t>Zur Diskussion steht vorab die Frage, ob der massgebliche Vergleichszeitraum korrekt festgelegt wurde.</w:t>
      </w:r>
    </w:p>
    <w:p>
      <w:r>
        <w:rPr>
          <w:b/>
        </w:rPr>
        <w:t>E. 3.2</w:t>
      </w:r>
    </w:p>
    <w:p>
      <w:r>
        <w:t>Zeitlicher Referenzpunkt für die Prüfung einer anspruchserheblichen Änderung bildet die letzte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 BGE 134 V 131 E. 3 S. 132; 133 V 108 E. 5.4 S. 114).</w:t>
      </w:r>
    </w:p>
    <w:p>
      <w:r>
        <w:rPr>
          <w:b/>
        </w:rPr>
        <w:t>E. 3.3</w:t>
      </w:r>
    </w:p>
    <w:p>
      <w:r>
        <w:t>Die Vorinstanz - wie auch zuvor die IV-Stelle in ihrer Nichteintretensverfügung vom 21. November 2016 - knüpfte für den zeitlichen Referenzzeitpunkt im Hinblick auf die Prüfung einer anspruchserheblichen Änderung an die Verfügung vom 4. August 2015 an. Diese Beurteilung ist bundesrechtskonform, zumal sie sich auf die letzte rechtskräftige Verfügung stützt, mit welcher eine materielle Prüfung des Rentenanspruchs durchgeführt und die Invalidenrente infolge der erwerblichen Verhältnisse auf eine halbe Rente herabgesetzt wurde (vgl. E. 3.2 hiervor). Soweit der Beschwerdeführer davon ausgeht, das kantonale Gericht habe den Referenzzeitpunkt "vorverlegt", ist dies aufgrund der missverständlichen vorinstanzlichen Erwägungen zwar nachvollziehbar, jedoch im Ergebnis falsch interpretiert. Die Frage, ob der Versicherte rentenrelevante veränderte Verhältnisse glaubhaft machen konnte, bezieht sich demnach auf den Zeitraum zwischen der rentenherabsetzenden Verfügung vom 4. August 2015 und der Nichteintretensverfügung vom 21. November 2016.</w:t>
      </w:r>
    </w:p>
    <w:p>
      <w:r>
        <w:rPr>
          <w:b/>
        </w:rPr>
        <w:t>E. 4.1</w:t>
      </w:r>
    </w:p>
    <w:p>
      <w:r>
        <w:t>Wird gemäss Art. 87 Abs. 2 IVV ein Gesuch um Revision eingereicht, so ist darin glaubhaft zu machen, dass sich der Grad der Invalidität in einer für den Anspruch erheblichen Weise geändert hat.</w:t>
      </w:r>
    </w:p>
    <w:p>
      <w:r>
        <w:rPr>
          <w:b/>
        </w:rPr>
        <w:t>E. 4.2</w:t>
      </w:r>
    </w:p>
    <w:p>
      <w:r>
        <w:t>Mit dem Beweismass des Glaubhaftmachens sind herabgesetzte Anforderungen an den Beweis verbunden; die Tatsachenänderung muss nicht nach dem im Sozialversicherungsrecht sonst üblichen Beweisgrad der überwiegenden Wahrscheinlichkeit ( BGE 138 V 218 E. 6 S. 221) erstellt sein. Es genügt, dass für das Vorhandensein des geltend gemachten rechtserheblichen Sachumstands wenigstens gewisse Anhaltspunkte bestehen, auch wenn durchaus noch mit der Möglichkeit zu rechnen ist, bei eingehender Abklärung werde sich die behauptete Änderung nicht erstellen lassen (Urteil 8C_647/2019 vom 31. Januar 2020 E. 2.1 mit Hinweis).</w:t>
      </w:r>
    </w:p>
    <w:p>
      <w:r>
        <w:rPr>
          <w:b/>
        </w:rPr>
        <w:t>E. 4.3</w:t>
      </w:r>
    </w:p>
    <w:p>
      <w:r>
        <w:t>Ob eine anspruchserhebliche Änderung im Sinne von Art. 87 Abs. 2 IVV glaubhaft gemacht ist, ist eine vom Bundesgericht unter dem Blickwinkel von Art. 105 Abs. 2 BGG überprüfbare Tatfrage. Frei zu beurteilende Rechtsfrage ist hingegen, wie hohe Anforderungen an das Glaubhaftmachen im Sinne von Art. 87 Abs. 3 IVV zu stellen sind (vgl. Urteil 8C_596/2019 vom 15. Januar 2020 E. 3.3 mit Hinweis).</w:t>
      </w:r>
    </w:p>
    <w:p>
      <w:r>
        <w:rPr>
          <w:b/>
        </w:rPr>
        <w:t>E. 4.4</w:t>
      </w:r>
    </w:p>
    <w:p>
      <w:r>
        <w:t>Zu dieser umstrittenen Frage erwog das kantonale Gericht, dass gestützt auf den Bericht des Dr. med. B.________, FMH Facharzt für Psychiatrie und Psychotherapie, vom 19. Juni 2016 eine an sich relevante Sachverhaltsänderung glaubhaft gemacht sei. Diese hätte allerdings keinen relevanten Einfluss auf die erwerblichen Verhältnisse des Beschwerdeführers, da er auf dem freien Arbeitsmarkt durchschnittlich ein Invalideneinkommen von Fr. 35'000.- zu erzielen vermöge.</w:t>
      </w:r>
    </w:p>
    <w:p>
      <w:r>
        <w:rPr>
          <w:b/>
        </w:rPr>
        <w:t>E. 4.5</w:t>
      </w:r>
    </w:p>
    <w:p>
      <w:r>
        <w:t>Der Beschwerdeführer wendet dagegen unter Hinweis auf die medizinischen Berichte im Wesentlichen ein, die Vorinstanz habe Art. 87 Abs. 2 IVV verletzt. Diese Rüge ist begründet. Wie die Vorinstanz nicht offensichtlich unrichtig feststellte, ergibt sich aus dem Bericht des Dr. med. B.________ vom 19. Juni 2016 insofern eine Sachverhaltsänderung, als aus psychiatrischer Sicht die Diagnose einer Organischen Persönlichkeitsstörung (ICD 10 F070) gestellt wird. Im Vergleich mit den medizinischen Berichten, die der Verfügung vom 4. August 2015 zu Grunde lagen und einzig eine leichte cerebrale Bewegungsstörung auswiesen, ist mit der neu gestellten Diagnose einer Organischen Persönlichkeitsstörung ein medizinisch veränderter Sachverhalt dargetan, was im Übrigen auch der RAD-Arzt in seiner Stellungnahme vom 22. August 2016 explizit bestätigte. Indem die Vorinstanz zum Schluss kam, dass der veränderte Sachverhalt keinen relevanten Einfluss auf das Invalideneinkommen habe, traf sie vorschnell eine Annahme hinsichtlich der Arbeits- und Erwerbsfähigkeit, wofür es es näherer Abklärungen im Rahmen einer materiellen Prüfung des Revisionsgesuchs bedürfte. Damit stellte sie im Ergebnis in Verletzung von Bundesrecht zu hohe Anforderungen an das Beweismass des Glaubhaftmachens im Sinne von Art. 87 Abs. 2 IVV (vgl. Urteil 8C_110/2019 vom 6. Juni 2019 E. 6.1).</w:t>
      </w:r>
    </w:p>
    <w:p>
      <w:r>
        <w:rPr>
          <w:b/>
        </w:rPr>
        <w:t>E. 4.6</w:t>
      </w:r>
    </w:p>
    <w:p>
      <w:r>
        <w:t>In Gutheissung der Beschwerde ist die Sache daher an die IV-Stelle zu weiteren medizinischen Abklärungen und zur Neuverfügung zurückzuweisen. Einer näheren Befassung mit den ausdrücklich als "obiter dictum" bezeichneten weiteren vorinstanzlichen Ausführungen bedarf es nicht (Fritz GYGI, Bundesverwaltungsrechtspflege, 2. Aufl. 1983 S. 68).</w:t>
      </w:r>
    </w:p>
    <w:p>
      <w:r>
        <w:rPr>
          <w:b/>
        </w:rPr>
        <w:t>E. 5</w:t>
      </w:r>
    </w:p>
    <w:p>
      <w:r>
        <w:t>Das Verfahren ist kostenpflichtig. Die Gerichtskosten sind der unterliegenden Beschwerdegegnerin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