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735/2010 vom 10. August 2011</w:t>
      </w:r>
    </w:p>
    <w:p>
      <w:r>
        <w:t>Bundesgericht, 2011-08-10, FR</w:t>
      </w:r>
    </w:p>
    <w:p>
      <w:r>
        <w:rPr>
          <w:b/>
        </w:rPr>
        <w:t xml:space="preserve">Quelle: </w:t>
      </w:r>
      <w:r>
        <w:t>https://mcp.opencaselaw.ch/entscheid/bger_8C_735_2010</w:t>
      </w:r>
    </w:p>
    <w:p>
      <w:r>
        <w:t>FR: TF 8C 735/2010 du 10 août 2011</w:t>
      </w:r>
    </w:p>
    <w:p>
      <w:r>
        <w:t>IT: TF 8C 735/2010 del 10 agosto 2011</w:t>
      </w:r>
    </w:p>
    <w:p>
      <w:pPr>
        <w:pStyle w:val="Heading2"/>
      </w:pPr>
      <w:r>
        <w:t>Regeste</w:t>
      </w:r>
    </w:p>
    <w:p>
      <w:r>
        <w:t>Assurance-accidents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Par sa décision sur opposition du 12 octobre 2009, la Mobilière a supprimé le droit de l'assurée à des prestations d'assurance à partir du 26 janvier 2007, motif pris de l'absence d'un lien de causalité adéquate entre l'accident et l'atteinte à la santé persistant à cette date. De son côté, la juridiction cantonale a confirmé cette décision dans son résultat, tout en laissant indécise la question de la causalité entre l'accident et l'atteinte à la santé, en tout cas en ce qui concerne l'aspect somatique (instabilité cervicale). Considérant implicitement que le cas devait être clôturé ( art. 19 al. 1 LAA ), elle a nié le droit au traitement médical au motif qu'il n'y avait plus lieu d'attendre de sa continuation une sensible amélioration de l'état de l'assurée, ainsi que le droit à une rente d'invalidité. Elle ne s'est toutefois pas prononcée sur le droit éventuel de l'intéressée à une indemnité pour atteinte à l'intégrité.</w:t>
      </w:r>
    </w:p>
    <w:p>
      <w:r>
        <w:rPr>
          <w:b/>
        </w:rPr>
        <w:t>E. 2.2</w:t>
      </w:r>
    </w:p>
    <w:p>
      <w:r>
        <w:t>Ainsi donc, tandis que l'intimée s'est prononcée sur la suppression de tout droit à des prestations d'assurance, la juridiction cantonale a statué sur la clôture du cas et nié le droit de l'assurée à une rente d'invalidité. Or, pour se prononcer sur la suppression du droit à des prestations, il faut examiner s'il existe un lien de causalité naturelle et adéquate entre l'accident et l'atteinte à la santé persistant à un moment donné. En revanche, pour statuer sur la clôture du cas, il faut, une fois admise l'existence d'un tel lien, examiner d'autres conditions comme l'amélioration ou la récupération de la capacité de travail au moyen de la continuation du traitement ( art. 19 al. 1 LAA ; cf. ATF 134 V 109 consid. 4.3 p. 115 et les références), ainsi que les conditions spécifiques du droit aux prestations de longue durée (invalidité, etc.). Aussi, la juridiction cantonale ne pouvait-elle pas se dispenser d'examiner la question de la causalité entre l'accident et la persistance des troubles en se contentant de statuer sur le droit éventuel à des prestations de longue durée. Au demeurant, tout en laissant indécis le point de savoir si une intervention chirurgicale était nécessaire pour remédier à l'instabilité cervicale, la juridiction précédente a considéré que le cas devait être clôturé, sans examiner s'il y avait encore lieu d'attendre de la continuation du traitement médical une sensible amélioration de l'état de l'assurée (cf. art. 19 al. 1 LAA ), ce par quoi il faut entendre l'amélioration ou la récupération de la capacité de travail ( ATF 134 V 109 consid. 4.3 p. 115 et les références). Cela étant, il y a lieu d'examiner si l'intimée était fondée, par sa décision sur opposition du 12 octobre 2009, à supprimer le droit de la recourante à des prestations d'assurance à partir du 26 janvier 2007, singulièrement, s'il existe un lien de causalité naturelle et adéquate entre l'accident et l'atteinte à la santé persistant à cette date.</w:t>
      </w:r>
    </w:p>
    <w:p>
      <w:r>
        <w:rPr>
          <w:b/>
        </w:rPr>
        <w:t>E. 2.3</w:t>
      </w:r>
    </w:p>
    <w:p>
      <w:r>
        <w:t>Dans la procédure de recours concernant l'octroi ou le refus de prestations en espèces de l'assurance-accidents, le Tribunal fédéral n'est pas lié par l'état de fait constaté par la juridiction inférieure ( art. 97 al. 2 LTF ).</w:t>
      </w:r>
    </w:p>
    <w:p>
      <w:r>
        <w:rPr>
          <w:b/>
        </w:rPr>
        <w:t>E. 3</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4.1</w:t>
      </w:r>
    </w:p>
    <w:p>
      <w:r>
        <w:t>Il convient d'examiner si, comme le soutient la recourante, il existait encore, au moment de la suppression du droit aux prestations d'assurance, un déficit fonctionnel organique découlant de l'accident. Dans ses rapports des 4 mai, 1er et 7 juin 2007, le docteur G.________ a attesté l'existence d'une lésion post-traumatique de l'appareil ligamentaire sous la forme d'une hypermobilité ou instabilité C4-C5. Cette atteinte, qui n'avait pas été diagnostiquée jusqu'alors en raison d'une instruction incomplète, avait été objectivée à l'aide de radiographies fonctionnelles selon la technique de Penning, ainsi que d'un bloc articulaire C4-C5 pratiqué par le docteur R.________, le 24 mai 2007. Dans son rapport d'expertise du 5 janvier 2009 et son rapport rédigé à la demande de l'assurée le 14 décembre suivant, le docteur A.________ a confirmé l'existence d'une instabilité post-traumatique C4-C5 à l'origine de la persistance de céphalées et de sensations de vertige.</w:t>
      </w:r>
    </w:p>
    <w:p>
      <w:r>
        <w:rPr>
          <w:b/>
        </w:rPr>
        <w:t>E. 4.2</w:t>
      </w:r>
    </w:p>
    <w:p>
      <w:r>
        <w:t>La juridiction cantonale a nié la valeur probante du second rapport du docteur A.________, motif pris, d'une part, qu'il contient des contradictions avec son rapport d'expertise du 5 janvier 2009 en ce qui concerne la capacité de travail et, d'autre part, que selon ce médecin, des troubles psychiques sont à l'arrière-plan, alors que l'assurée souffre de dépression depuis des années. De son côté, l'intimée soulève les mêmes griefs dans sa réponse au recours. Toutefois, ni la juridiction cantonale ni l'intimée ne contestent le second rapport du docteur A.________ dans la mesure où ce médecin atteste l'existence d'un déficit organique post-traumatique. Au demeurant, ce rapport confirme sur ce point les conclusions de l'expertise du 5 janvier 2009 et celles du docteur G.________. Au surplus, la juridiction cantonale ne nie pas l'existence d'une relation de causalité entre l'instabilité cervicale et l'accident mais laisse cette question indécise. Quant à l'intimée, elle conteste l'existence d'une instabilité C4-C5 en se contentant, en dépit des diverses appréciations médicales qui attestent une telle lésion et sans même indiquer de moyens de preuve, d'affirmer que cette lésion ne ressort pas des examens pratiqués mais d'une combinaison d'éléments. Cela étant, il n'y a pas de motif en l'occurrence de mettre en cause les avis des docteurs G.________ et A.________, selon lesquels la recourante présente encore au-delà du 25 janvier 2007 un déficit fonctionnel organique post-traumatique sous la forme d'une instabilité C4-C5. La causalité naturelle entre ce trouble physique et l'accident étant admise, la causalité adéquate doit être admise sans examen ( ATF 118 V 286 consid. 3a p. 291; 117 V 359 consid. 5d/bb p. 365) et l'intimée n'était pas fondée, par sa décision sur opposition du 12 octobre 2009, à supprimer, à partir du 26 janvier 2007, le droit de la recourante à des prestations d'assurance pour les suites de l'accident du 24 janvier 2006 au motif de l'absence d'un lien de causalité adéquate. Le recours se révèle ainsi bien fondé.</w:t>
      </w:r>
    </w:p>
    <w:p>
      <w:r>
        <w:rPr>
          <w:b/>
        </w:rPr>
        <w:t>E. 5.1</w:t>
      </w:r>
    </w:p>
    <w:p>
      <w:r>
        <w:t>Selon l' art. 21 al. 4 LPGA ,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rPr>
          <w:b/>
        </w:rPr>
        <w:t>E. 5.2</w:t>
      </w:r>
    </w:p>
    <w:p>
      <w:r>
        <w:t>En l'espèce, les docteurs G.________ et A.________ ont préconisé une chirurgie de stabilisation C4-C5 en indiquant toutefois qu'un tel traitement ne pouvait offrir toutes les chances de succès. De son côté, l'intimée a exprimé son accord quant à la prise en charge de cette intervention, au motif qu'il existait un lien de causalité entre l'ensemble des troubles et l'accident (lettre du 26 janvier 2009). Cependant, l'assurée a déclaré renoncer à cette opération en se référant à un avis du docteur F.________, selon lequel une prise en charge n'était pas justifiée au regard des constatations neuroradiologiques et radiologiques (rapport du 7 juillet 2009). Il appartiendra dès lors à l'intimée d'examiner si l'opération en question est raisonnablement exigible et susceptible d'améliorer notablement la capacité de travail de l'assurée. Le cas échéant et si l'intéressée refuse de s'y soumettre, elle pourra réduire ou refuser temporairement ses prestations après lui avoir adressé une mise en demeure écrite l'avertissant des conséquences de son refus ( ATF 134 V 189 consid. 2 p. 193 s.). En ce qui concerne l'incapacité de travail de longue durée apparue le 24 septembre 2008, il incombera en outre à l'intimée d'examiner si elle résulte de l'atteinte à la santé due à l'accident. Cela étant, la décision sur opposition litigieuse et le jugement attaqué doivent être annulés et la cause renvoyée à l'intimée pour nouvelle décision sur le droit aux prestations en considération du déficit fonctionnel organique post-traumatique.</w:t>
      </w:r>
    </w:p>
    <w:p>
      <w:r>
        <w:rPr>
          <w:b/>
        </w:rPr>
        <w:t>E. 6</w:t>
      </w:r>
    </w:p>
    <w:p>
      <w:r>
        <w:t>L'intimée, qui succombe, supportera les frais judiciaires ( art. 66 al. 1 LTF ). En outre, la recourante a droit à une indemnité de dépens à la charge de l'intimée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