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8C_732/2022 vom 3. Februar 2023</w:t>
      </w:r>
    </w:p>
    <w:p>
      <w:r>
        <w:t>Bundesgericht, 2023-02-03, DE</w:t>
      </w:r>
    </w:p>
    <w:p>
      <w:r>
        <w:rPr>
          <w:b/>
        </w:rPr>
        <w:t xml:space="preserve">Quelle: </w:t>
      </w:r>
      <w:r>
        <w:t>https://mcp.opencaselaw.ch/entscheid/bger_8C_732_2022</w:t>
      </w:r>
    </w:p>
    <w:p>
      <w:r>
        <w:t>FR: TF 8C_732/2022 du 3 février 2023</w:t>
      </w:r>
    </w:p>
    <w:p>
      <w:r>
        <w:t>IT: TF 8C_732/2022 del 3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bestätigte mit Urteil vom 1. November 2022 den Einspracheentscheid der Beschwerdegegnerin vom 23. September 2022, worin der Beschwerdeführer verpflichtet wurde, zu Unrecht bezogene Taggelder in der Höhe von Fr. 1545.85 zurückzuerstatten. Dabei führte sie unter anderem aus, die der Rückforderung zu Grunde liegende Einstellung in der Anspruchsberechtigung von sieben Tagen könne im vorliegenden Verfahren nicht mehr thematisiert werden. Darüber sei bereits im der Rückforderung vorangegangen Verfahren, welches mit dem Einspracheentscheid des kantonalen Amtes für Wirtschaft und Arbeit (AWA) vom 5. Juli 2022 seinen Abschluss gefunden habe, rechtskräftig entschieden worden.</w:t>
      </w:r>
    </w:p>
    <w:p>
      <w:r>
        <w:rPr>
          <w:b/>
        </w:rPr>
        <w:t>E. 3</w:t>
      </w:r>
    </w:p>
    <w:p>
      <w:r>
        <w:t>Darauf geht der Beschwerdeführer in seiner Eingabe vom 12. Dezember 2022 nicht näher ein. Lediglich das von der Vorinstanz für bereits rechtskräftig entschieden Bezeichnetes inhaltlich in Frage zu stellen, zielt an der Sache vorbei.</w:t>
      </w:r>
    </w:p>
    <w:p>
      <w:r>
        <w:rPr>
          <w:b/>
        </w:rPr>
        <w:t>E. 4</w:t>
      </w:r>
    </w:p>
    <w:p>
      <w:r>
        <w:t>Liegt offensichtlich keine hinreichend sachbezogen begründete Beschwerde vor,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