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8C_730/2022 vom 12. Januar 2023</w:t>
      </w:r>
    </w:p>
    <w:p>
      <w:r>
        <w:t>Bundesgericht, 2023-01-12, DE</w:t>
      </w:r>
    </w:p>
    <w:p>
      <w:r>
        <w:rPr>
          <w:b/>
        </w:rPr>
        <w:t xml:space="preserve">Quelle: </w:t>
      </w:r>
      <w:r>
        <w:t>https://mcp.opencaselaw.ch/entscheid/bger_8C_730_2022</w:t>
      </w:r>
    </w:p>
    <w:p>
      <w:r>
        <w:t>FR: TF 8C_730/2022 du 12 janvier 2023</w:t>
      </w:r>
    </w:p>
    <w:p>
      <w:r>
        <w:t>IT: TF 8C_730/2022 del 12 gennaio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144 V 50 E. 4.2; 137 V 57 E. 1.3 und 136 I 65 E. 1.3.1).</w:t>
      </w:r>
    </w:p>
    <w:p>
      <w:r>
        <w:rPr>
          <w:b/>
        </w:rPr>
        <w:t>E. 2</w:t>
      </w:r>
    </w:p>
    <w:p>
      <w:r>
        <w:t>Die Vorinstanz legte im angefochtenen Entscheid vom 1. November 2022 in Auseinandersetzung mit den Parteivorbringen und in Würdigung der Akten ausführlich dar, aus welchen Gründen auf die am 18. Oktober 2021 eingereichte Neuanmeldung zum Rentenbezug nicht einzutreten war.</w:t>
      </w:r>
    </w:p>
    <w:p>
      <w:r>
        <w:rPr>
          <w:b/>
        </w:rPr>
        <w:t>E. 3</w:t>
      </w:r>
    </w:p>
    <w:p>
      <w:r>
        <w:t>Der Beschwerdeführer befasst sich nicht zureichend mit den für das Ergebnis des angefochtenen Entscheids massgeblichen vorinstanzlichen Erwägungen, indem er weder rügt noch aufzeigt, inwiefern diese im Sinne von Art. 97 Abs. 1 BGG of fensichtlich unrichtig, d.h. unhaltbar oder willkürlich sein ( BGE 146 IV 88 E. 1.3.1 mit Hinweisen) oder auf einer Rechtsverletzung gemäss Art. 95 BGG beruhen sollten.</w:t>
      </w:r>
    </w:p>
    <w:p>
      <w:r>
        <w:t>Insbesondere reicht es nicht aus, unter Verweis auf von der Vorinstanz gewürdigte Arztberichte pauschal zu behaupten, damit sei entgegen der vorinstanzlichen Auffassung eine massgebliche Veränderung des Gesundheitszustands im massgeblichen Vergleichszeitraum vom 15. Januar 2014 (Verfügungszeitpunkt der letzten Leistungsablehnung) bis 11. Mai 2022 (Verfügungsdatum des Nichteintretens auf die Neuanmeldung vom 18. Oktober 2021) glaubhaft dargetan und weitere Abklärungen zu fordern. Ebenso wenig genügt es, den vorinstanzlichen Ansatz, auf die zum Zeitpunkt des Erlasses der angefochtenen Verfügung geltenden Rechtsbestimmungen abzustellen, als falsch zu kritisieren, und die Anwendung der zum Zeitpunkt der Neuanmeldung in Kraft stehenden Bestimmungen zu fordern, ohne zugleich aufzuzeigen, inwiefern sich denn die Rechtslage hinsichtlich der anwendbaren Bestimmungen und Rechtsgrundsätze überhaupt verändert haben soll. Schliesslich wird den Begründungsanforderungen auch nicht damit entsprochen, wenn in der Beschwerde pauschal ein Beweisverwertungsverbot von Observationsergebnissen gefordert wird (vgl. dazu: Art. 43a Abs. 1 ATSG ; für die Zeit vor dem 1. Oktober 2019 BGE 143 I 377 ). Die Vorbringen des Beschwerdeführers gehen insgesamt offensichtlich nicht über eine letztinstanzlich unzulässige appellatorische Kritik hinaus.</w:t>
      </w:r>
    </w:p>
    <w:p>
      <w:r>
        <w:rPr>
          <w:b/>
        </w:rPr>
        <w:t>E. 4</w:t>
      </w:r>
    </w:p>
    <w:p>
      <w:r>
        <w:t>Liegt offensichtlich keine hinreichend sachbezogen begründete Beschwerde vor, führt dies zu einem Nichteintreten im vereinfachten Verfahren nach Art. 108 Abs. 1 lit. b BGG .</w:t>
      </w:r>
    </w:p>
    <w:p>
      <w:r>
        <w:rPr>
          <w:b/>
        </w:rPr>
        <w:t>E. 5</w:t>
      </w:r>
    </w:p>
    <w:p>
      <w:r>
        <w:t>Das in der Beschwerdeschrift gestellte Gesuch um unentgeltliche Rechtspflege ist wegen aussichtsloser Beschwerdeführung abzuweisen ( Art. 64 Abs. 1 BGG ).</w:t>
      </w:r>
    </w:p>
    <w:p>
      <w:r>
        <w:rPr>
          <w:b/>
        </w:rPr>
        <w:t>E. 6</w:t>
      </w:r>
    </w:p>
    <w:p>
      <w:r>
        <w:t>In Anwendung von Art. 66 Abs. 1 Satz 2 BGG wird aber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