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730/2010 vom 10. Dezember 2010</w:t>
      </w:r>
    </w:p>
    <w:p>
      <w:r>
        <w:t>Bundesgericht, 2010-12-10, DE</w:t>
      </w:r>
    </w:p>
    <w:p>
      <w:r>
        <w:rPr>
          <w:b/>
        </w:rPr>
        <w:t xml:space="preserve">Quelle: </w:t>
      </w:r>
      <w:r>
        <w:t>https://mcp.opencaselaw.ch/entscheid/bger_8C_730_2010</w:t>
      </w:r>
    </w:p>
    <w:p>
      <w:r>
        <w:t>FR: TF 8C 730/2010 du 10 décembre 2010</w:t>
      </w:r>
    </w:p>
    <w:p>
      <w:r>
        <w:t>IT: TF 8C 730/2010 del 10 dicembre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Würdigung des medizinischen Dossiers, insbesondere gestützt auf die vom vertrauensärztlichen Dienst für die Pensionskasse eingeholten Unterlagen, erwogen, der medizinische Sachverhalt sei genügend abgeklärt. Einzig die Hausärztin des Beschwerdeführers, Dr. med. M.________, erachte gemäss Zeugnis vom 25. Juni 2009 eine bloss 50%ige Arbeitsfähigkeit als adäquat. Eine darüber hinausgehende Belastung würde sofort zu einer Exazerbation der Schmerzen und zu einer Zunahme des Muskelhartspannes führen. Gemäss Auffassung der Vorinstanz ist dieses Zeugnis nicht geeignet, überzeugende Angaben zur dauerhaften Einschränkung des Beschwerdeführers zu machen. Hingegen bestehe kein Anlass, die ärztlichen Beurteilungen von Dr. med. L.________ sowie die mit diesen im Wesentlichen korellierenden Einschätzungen der Dres. med. E.________ und V.________ in Zweifel zu ziehen. Da das Gericht die genannten ärztlichen Beurteilungen als überzeugend und umfassend erachtete, gab es keine Veranlassung, weitere medizinische Abklärungen vorzunehmen. Demnach stehe mit überwiegender Wahrscheinlichkeit fest, dass der Beschwerdeführer für eine leichte, wechselbelastende Tätigkeit zu 100 % arbeitsfähig sei. Daraus resultiere kein rentenbegründender Invaliditätsgrad.</w:t>
      </w:r>
    </w:p>
    <w:p>
      <w:r>
        <w:rPr>
          <w:b/>
        </w:rPr>
        <w:t>E. 2.2</w:t>
      </w:r>
    </w:p>
    <w:p>
      <w:r>
        <w:t>Die tatsächlichen Feststellungen des kantonalen Gerichts sind nicht mangelhaft im Sinne von Art. 97 Abs. 1 BGG . Namentlich hat die Vorinstanz eingehend begründet, weshalb sie für die Beurteilung der Arbeits- und Leistungsfähigkeit auf die Berichte des Dr. med. L.________ abgestellt hat. Die Vorbringen in der Beschwerde übersehen, dass auch nach jüngst bestätigter Rechtsprechung kein Anspruch auf gerichtliche Expertise besteht ( BGE 135 V 465 ). Insbesondere ist nicht ersichtlich, weshalb eine Abklärung über den Gesundheitszustand zwingend im Auftrag der Invalidenversicherung und mittels des von dieser verwendeten Fragenkatalogs erfolgen sollte. Das Erstellen eines eigentlichen Gutachtens ist nicht in jedem Fall erforderlich. Mit dem Abstellen auf die als überzeugend beurteilten Zeugnisse, welche im administrativen Verfahren eingeholt wurden, hat das kantonale Gericht weder das rechtliche Gehör des Beschwerdeführers verletzt noch den Untersuchungsgrundsatz missachtet.</w:t>
      </w:r>
    </w:p>
    <w:p>
      <w:r>
        <w:rPr>
          <w:b/>
        </w:rPr>
        <w:t>E. 2.3.1</w:t>
      </w:r>
    </w:p>
    <w:p>
      <w:r>
        <w:t>Die anhand von medizinischen Untersuchungen gerichtlich festgestellte Arbeits(un)fähigkeit stellt eine Entscheidung über eine Tatfrage dar. Dazu gehören auch die Fragen, in welchem Umfang das funktionelle Leistungsvermögen sowie vorhandene und verfügbare psychische Ressourcen eine (Rest-)Arbeitsfähigkeit begründen, weil es der versicherten Person zumutbar ist, eine entsprechend profilierte Tätigkeit auszuüben. Für eine valide Beurteilung der Arbeitsfähigkeit und Zumutbarkeit ist in manchen Fällen neben den medizinischen Befunden und Diagnosen auch eine arbeitsorientierte Evaluation der funktionellen Leistungsfähigkeit (EFL) wünschbar oder sogar erforderlich. Dies ist jedoch keineswegs in allen Fällen notwendig. Das gilt insbesondere auch vorliegend, wo keiner der behandelnden oder begutachtenden Ärzte eine entsprechende Expertise empfahl. Auf jeden Fall stellt das Unterlassen der insbesondere vorinstanzlich beantragten EFL-Abklärung keine Rechtsverletzung dar, welche die ohne diese gemachten Sachverhaltsfeststellungen hinsichtlich der zumutbaren Arbeitsfähigkeit als willkürlich erscheinen liesse.</w:t>
      </w:r>
    </w:p>
    <w:p>
      <w:r>
        <w:rPr>
          <w:b/>
        </w:rPr>
        <w:t>E. 2.3.2</w:t>
      </w:r>
    </w:p>
    <w:p>
      <w:r>
        <w:t>Der Beschwerdeführer rügt weiter den vom kantonalen Gericht ermittelten Zeitpunkt eines möglichen Rentenbeginns. Dieses hat anhand der Arztzeugnisse und insbesondere der Arbeitszeitkontrolle der Arbeitgeberin ab 26. Mai 2007 detailliert dargelegt und begründet, dass der Beschwerdeführer während 365 Tagen nach dem erstmaligen Attest einer verminderten Arbeitsfähigkeit durchschnittlich zu 39.25 % arbeitsunfähig gewesen sei, weshalb das Wartejahr am 25. Mai 2008 nicht erfüllt war. In der Beschwerde wird dazu vorgebracht, die Wartezeit sei auch in Phasen voller Arbeitsfähigkeit - beziehungsweise aufgrund des vom Beschwerdeführer gewählten Arbeitszeitmodelles solcher von 95 % - zu berücksichtigen, da die häufigen Krankheitsfälle dafür sprächen, dass eine gesundheitliche Überforderung über das Zumutbare hinaus vorgelegen habe. Diese Argumentation vermag an den tatsächlichen Feststellungen des kantonalen Gerichts nichts zu ändern.</w:t>
      </w:r>
    </w:p>
    <w:p>
      <w:r>
        <w:rPr>
          <w:b/>
        </w:rPr>
        <w:t>E. 2.4</w:t>
      </w:r>
    </w:p>
    <w:p>
      <w:r>
        <w:t>Die konkrete Invaliditätsbemessung durch Einkommensvergleich ist nicht angefochten. Es besteht kein Anlass zu einer näheren Prüfung ( BGE 125 V 413 E. 1b und 2c S. 415 ff.; 110 V 48 E. 4a S. 53).</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