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729/2022 vom 12. Januar 2023</w:t>
      </w:r>
    </w:p>
    <w:p>
      <w:r>
        <w:t>Bundesgericht, 2023-01-12, DE</w:t>
      </w:r>
    </w:p>
    <w:p>
      <w:r>
        <w:rPr>
          <w:b/>
        </w:rPr>
        <w:t xml:space="preserve">Quelle: </w:t>
      </w:r>
      <w:r>
        <w:t>https://mcp.opencaselaw.ch/entscheid/bger_8C_729_2022</w:t>
      </w:r>
    </w:p>
    <w:p>
      <w:r>
        <w:t>FR: TF 8C 729/2022 du 12 janvier 2023</w:t>
      </w:r>
    </w:p>
    <w:p>
      <w:r>
        <w:t>IT: TF 8C 729/2022 del 12 gennaio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2</w:t>
      </w:r>
    </w:p>
    <w:p>
      <w:r>
        <w:t>Die Vorinstanz legte im angefochtenen Urteil vom 19. Oktober 2022 in Auseinandersetzung mit den Parteivorbringen und in Würdigung der Akten dar, aus welchen Gründen der sich am 7. September 2021 bei der Arbeitslosenversicherung zum Leistungsbezug anmeldende Beschwerdeführer keinen Anspruch auf Arbeitslosentaggelder hat. Demnach schliesse Art. 8 Abs. 1 lit. d AVIG einen solchen Anspruch für eine Altersrente der AHV beziehende Personen aus, was für den Beschwerdeführer seit dem 1. Mai 2021 zutreffe; Weiterungen zu einer allfälligen Befreiung von der Beitragszeit gemäss Art. 14 AVIG seien dergestalt nicht angezeigt.</w:t>
      </w:r>
    </w:p>
    <w:p>
      <w:r>
        <w:rPr>
          <w:b/>
        </w:rPr>
        <w:t>E. 3</w:t>
      </w:r>
    </w:p>
    <w:p>
      <w:r>
        <w:t>Inwiefern das kantonale Gericht damit gegen Bundesrecht verstossen oder einen anderen Beschwerdegrund (vgl. Art. 95 lit. a-e BGG ) gesetzt haben soll, legt der Beschwerdeführer nicht dar. Lediglich vorzubringen, es sei für ihn nicht nachvollziehbar, weshalb sich das kantonale Gericht nicht auch zur von ihm aufgeworfenen Frage nach einer allfälligen Befreiung von der Beitragszeit nach Art. 14 AVIG geäussert habe, reicht offensichtlich nicht aus. Inwiefern sich das kantonale Gericht dazu inhaltlich hätte äussern müssen, nachdem es einen Anspruch auf Arbeitslosengelder bereits aus anderen Gründen als wegen unzureichender Beitragszeiten im Sinne von Art. 8 Abs. 1 lit. e (in Verbindung mit Art. 13 und 14) AVIG verneinte, legt er nicht dar.</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