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8C_729/2014 vom 18. November 2014</w:t>
      </w:r>
    </w:p>
    <w:p>
      <w:r>
        <w:t>Bundesgericht, 2014-11-18, DE</w:t>
      </w:r>
    </w:p>
    <w:p>
      <w:r>
        <w:rPr>
          <w:b/>
        </w:rPr>
        <w:t xml:space="preserve">Quelle: </w:t>
      </w:r>
      <w:r>
        <w:t>https://mcp.opencaselaw.ch/entscheid/bger_8C_729_2014</w:t>
      </w:r>
    </w:p>
    <w:p>
      <w:r>
        <w:t>FR: TF 8C_729/2014 du 18 novembre 2014</w:t>
      </w:r>
    </w:p>
    <w:p>
      <w:r>
        <w:t>IT: TF 8C_729/2014 del 18 novembre 2014</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Im kantonalen Entscheid werden die Bestimmungen und Grundsätze über die gesetzlichen Vorschriften zum Ausschluss arbeitgeberähnlicher Personen und im Betrieb mitarbeitender Ehegatten vom Anspruch auf Kurzarbeitsentschädigung ( Art. 31 Abs. 3 lit. c AVIG ), die Rechtsprechung zur analogen Anwendung dieser Bestimmung auf arbeitgeberähnliche Personen und ihre Ehegatten, die Arbeitslosenentschädigung verlangen ( BGE 123 V 234 E. 7 S. 236), sowie über die Rückforderung unrechtmässig bezogener Leistungen der Arbeitslosenversicherung ( Art. 95 Abs. 1 AVIG in Verbindung mit Art. 25 Abs. 1 und 2 ATSG ) zutreffend dargelegt. Darauf wird verwiesen.</w:t>
      </w:r>
    </w:p>
    <w:p>
      <w:r>
        <w:t>Hervorzuheben ist, dass die Frage, ob Arbeitnehmende einem obersten betrieblichen Entscheidungsgremium angehören und ob sie in dieser Eigenschaft massgeblich Einfluss auf die Unternehmensentscheidungen nehmen können, aufgrund der internen betrieblichen Struktur zu beantworten ist ( BGE 122 V 270 E. 3 S. 272; ARV 2004 S. 196 E. 3.2, C 113/03). Keine Prüfung des Einzelfalles ist erforderlich, wenn sich die massgebliche Entscheidungsbefugnis bereits aus dem Gesetz selbst (zwingend) ergibt. Dies gilt insbesondere für die Gesellschafter einer GmbH ( Art. 810 ff. OR ) sowie die mitarbeitenden Verwaltungsräte einer AG, für welche das Gesetz in Art. 716-716b OR verschiedene, nicht übertrag- und entziehbare, die Entscheidungen des Arbeitgebers bestimmende oder massgeblich beeinflussende Aufgaben vorschreibt ( BGE 123 V 234 E. 7a S. 237; 122 V 270 E. 3 S. 273; vgl. auch THOMAS NUSSBAUMER, Arbeitslosenversicherung, in: Soziale Sicherheit, SBVR Bd. XIV, 2. Aufl. 2007, S. 2316 Rz. 463).</w:t>
      </w:r>
    </w:p>
    <w:p>
      <w:r>
        <w:rPr>
          <w:b/>
        </w:rPr>
        <w:t>E. 3</w:t>
      </w:r>
    </w:p>
    <w:p>
      <w:r>
        <w:t>Streitig und zu prüfen ist, ob die Vorinstanz Bundesrecht verletzte, indem sie einen Leistungsanspruch der Beschwerdeführerin auf Arbeitslosenentschädigung verneinte und demzufolge die Rückforderung der in der Zeit vom 11. März bis 31. Dezember 2013 erbrachten Arbeitslosentaggelder als rechtens erachtete.</w:t>
      </w:r>
    </w:p>
    <w:p>
      <w:r>
        <w:rPr>
          <w:b/>
        </w:rPr>
        <w:t>E. 3.1</w:t>
      </w:r>
    </w:p>
    <w:p>
      <w:r>
        <w:t>Das kantonale Gericht bestätigt gestützt auf Judikatur und Literatur die Auffassung der Arbeitslosenkasse, wonach der Beschwerdeführerin als Gesellschafterin einer GmbH mit einer 50%igen Beteiligung auch nach der Auflösung des Arbeitsverhältnisses per Ende Dezember 2012 von Gesetzes wegen eine arbeitgeberähnliche Stellung zugekommen war. Eine tatsächliche oder beabsichtigte Einflussnahme auf das Geschick der Firma sei dabei irrelevant, denn die Rechtsprechung gemäss BGE 123 V 234 wolle nicht nur dem ausgewiesenen Missbrauch an sich begegnen, sondern bereits das abstrakte Risiko eines Rechtsmissbrauchs, welches der Auszahlung von Arbeitslosentaggeldern an arbeitgeberähnliche Personen inhärent sei, verhindern.</w:t>
      </w:r>
    </w:p>
    <w:p>
      <w:r>
        <w:rPr>
          <w:b/>
        </w:rPr>
        <w:t>E. 3.2</w:t>
      </w:r>
    </w:p>
    <w:p>
      <w:r>
        <w:t>Den vorinstanzlichen Erwägungen ist vollumfänglich beizupflichten. Die Einwendungen der Beschwerdeführerin vermögen daran nichts zu ändern. Diese zielen darauf hin, die Verwaltung habe ihren konkreten Einzelfall zu wenig abgeklärt und damit den Sachverhalt fehlerhaft festgestellt. Sie beruft sich dabei auf BGE 120 V 521 E. 3b S. 526. Demnach sei in jedem Fall zu prüfen, welche Entscheidbefugnisse einer Person aufgrund der internen betrieblichen Struktur zukomme. Sie übersieht dabei, dass bei einzelnen Gesellschaftsformen, wie auch der GmbH, die massgebende Einflussmöglichkeit und damit die arbeitgeberähnliche Funktion jedes Gesellschafters bereits von Gesetzes wegen gegeben ist (vgl. E. 2 hievor). In diesen Fällen kann somit die Abklärung der konkreten Entscheidbefugnisse aufgrund der internen betrieblichen Struktur unterbleiben. Es ist irrelevant, ob sich eine solche Einflussmöglichkeit auch aus dem Arbeitsvertrag ergibt. Das Arbeitsverhältnis war vorliegend unabhängig von der Eigenschaft als Gesellschafterin. So blieb die Beschwerdeführerin auch nach Auflösung des Arbeitsvertrages weiterhin als einzelzeichnungsberechtigte Gesellschafterin im Handelsregister eingetragen. Ob es sich dabei um eine blosse "pro forma" Berechtigung gehandelt haben mag, wie in der Beschwerde geltend gemacht, kann und muss nicht weiter geprüft werden, da dieser Aspekt auf die Anspruchsberechtigung auf Arbeitslosenentschädigung keinen Einfluss hat. Wenn die Vorinstanz die Beschwerdeführerin von einem entsprechenden Anspruch wegen der fortdauernden arbeitgeberähnlichen Stellung in der GmbH ausschloss, ist dies nach dem Gesagten rechtens. Für die hier strittige Frage ist es zudem nicht von Belang, ob sie von Drittpersonen richtig beraten wurde. Damit sind die Voraussetzungen für eine Wiedererwägung erfüllt, hat die Beschwerdeführerin doch die streitigen Leistungen zweifellos zu Unrecht bezogen und ist deren Umfang erheblich ( BGE 130 V 318 E. 5.2 in fine S. 320; 129 V 110 E. 1.1). Unrechtmässig bezogene Leistungen sind zurückzuerstatten ( Art. 25 Abs. 1 ATSG ).</w:t>
      </w:r>
    </w:p>
    <w:p>
      <w:r>
        <w:rPr>
          <w:b/>
        </w:rPr>
        <w:t>E. 4</w:t>
      </w:r>
    </w:p>
    <w:p>
      <w:r>
        <w:t>Die Beschwerde erweist sich als offensichtlich unbegründet, weshalb sie im vereinfachten Verfahren nach Art. 109 BGG - ohne Durchführung eines Schriftenwechsels und mit summarischer Begründung - erledigt wird.</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