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8C_728/2025 vom 14. Januar 2026</w:t>
      </w:r>
    </w:p>
    <w:p>
      <w:r>
        <w:t>Bundesgericht, 2026-01-14, DE</w:t>
      </w:r>
    </w:p>
    <w:p>
      <w:r>
        <w:rPr>
          <w:b/>
        </w:rPr>
        <w:t xml:space="preserve">Quelle: </w:t>
      </w:r>
      <w:r>
        <w:t>https://mcp.opencaselaw.ch/entscheid/bger_8C_728_2025</w:t>
      </w:r>
    </w:p>
    <w:p>
      <w:r>
        <w:t>FR: TF 8C_728/2025 du 14 janvier 2026</w:t>
      </w:r>
    </w:p>
    <w:p>
      <w:r>
        <w:t>IT: TF 8C_728/2025 del 14 gennaio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16. Oktober 2025 den Einspracheentscheid der Beschwerdegegnerin vom 3. Dezember 2024, mit welchem der Beschwerdeführerin ab 1. September 2024 Ergänzungsleistungen zur AHV in der Höhe von Fr. 1'498.- monatlich zugesprochen wurden. Davon gelangen nach Abzug der direkt dem Krankenversicherer zu überweisenden Krankenkassenprämie monatlich Fr. 965.- zur Auszahlung an die Beschwerdeführerin.</w:t>
      </w:r>
    </w:p>
    <w:p>
      <w:r>
        <w:rPr>
          <w:b/>
        </w:rPr>
        <w:t>E. 3</w:t>
      </w:r>
    </w:p>
    <w:p>
      <w:r>
        <w:t>Die Beschwerdeführerin zeigt in ihren zahlreichen Eingaben nicht auf, inwieweit die von der Vorinstanz dabei getroffenen Sachverhaltsfeststellungen offensichtlich unrichtig (vgl. Art. 97 Abs. 1 BGG ) - mithin willkürlich ( BGE 146 IV 88 E. 1.3.1 f. und 140 III 115 E. 2; je mit Hinweisen) - oder sonstwie bundesrechtswidrig sein sollen. Ebenso wenig führt sie aus, weshalb die darauf beruhenden Erwägungen gegen Bundesrecht verstossen oder einen anderen Beschwerdegrund (vgl. Art. 95 lit. a-e BGG ) gesetzt haben könnten. Das bereits vor Vorinstanz Vorgetragene zu wiederholen, ohne auf die dazu ergangenen Erwägungen näher einzugehen, reicht vor Bundesgericht nicht aus. Genau so wenig zielführend ist es, die schwierigen Lebensumstände zu schildern, ohne zugleich aufzuzeigen, inwiefern der Beschwerdeführerin deswegen ein höherer Ergänzungsleistunganspruch zustehen sollte, als jener, der von der Vorinstanz für rechtmässig erachtet worden.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rPr>
          <w:b/>
        </w:rPr>
        <w:t>E. 6</w:t>
      </w:r>
    </w:p>
    <w:p>
      <w:r>
        <w:t>Das Gericht behält sich vor, weitere gleichartige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