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8C_726/2019 vom 27. Oktober 2021</w:t>
      </w:r>
    </w:p>
    <w:p>
      <w:r>
        <w:t>Bundesgericht, 2021-10-27, DE</w:t>
      </w:r>
    </w:p>
    <w:p>
      <w:r>
        <w:rPr>
          <w:b/>
        </w:rPr>
        <w:t xml:space="preserve">Quelle: </w:t>
      </w:r>
      <w:r>
        <w:t>https://mcp.opencaselaw.ch/entscheid/bger_8C_726_2019</w:t>
      </w:r>
    </w:p>
    <w:p>
      <w:r>
        <w:t>FR: TF 8C_726/2019 du 27 octobre 2021</w:t>
      </w:r>
    </w:p>
    <w:p>
      <w:r>
        <w:t>IT: TF 8C_726/2019 del 27 ottobre 2021</w:t>
      </w:r>
    </w:p>
    <w:p>
      <w:pPr>
        <w:pStyle w:val="Heading2"/>
      </w:pPr>
      <w:r>
        <w:t>Erwägungen</w:t>
      </w:r>
    </w:p>
    <w:p>
      <w:r>
        <w:rPr>
          <w:b/>
        </w:rPr>
        <w:t>E. 1</w:t>
      </w:r>
    </w:p>
    <w:p>
      <w:r>
        <w:t>Die Sistierung des Verfahrens gemäss Verfügung vom 7. Februar 2020 kann aufgehoben werden, nachdem die Vorinstanz am 27. August 2020 über das Revisionsgesuch gegen ihr Urteil vom 22. August 2019 entschieden hat.</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3.1</w:t>
      </w:r>
    </w:p>
    <w:p>
      <w:r>
        <w:t>Neue Tatsachen und Beweismittel dürfen vor Bundesgericht nur soweit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mit Hinweisen).</w:t>
      </w:r>
    </w:p>
    <w:p>
      <w:r>
        <w:rPr>
          <w:b/>
        </w:rPr>
        <w:t>E. 3.2</w:t>
      </w:r>
    </w:p>
    <w:p>
      <w:r>
        <w:t>Die von der Beschwerdeführerin letztinstanzlich aufgelegte medizinische Stellungnahme des Dr. med. C.________, Allgemeinmedizin FMH und Psychosomatik SAPPM, und der D.________, Fachpsychologin für Psychotherapie FSP, vom 23. Oktober 2019 stammt aus der Zeit nach dem angefochtenen Gerichtsurteil und kann als echtes Novum vom Bundesgericht daher nicht berücksichtigt werden.</w:t>
      </w:r>
    </w:p>
    <w:p>
      <w:r>
        <w:rPr>
          <w:b/>
        </w:rPr>
        <w:t>E. 4.1</w:t>
      </w:r>
    </w:p>
    <w:p>
      <w:r>
        <w:t>Streitig und zu prüfen ist, ob die Vorinstanz Bundesrecht verletzte, indem sie - in Bestätigung der Verfügung der Beschwerdegegnerin vom 7. März 2019 - einen Rentenanspruch der Beschwerdeführerin verneinte.</w:t>
      </w:r>
    </w:p>
    <w:p>
      <w:r>
        <w:rPr>
          <w:b/>
        </w:rPr>
        <w:t>E. 4.2</w:t>
      </w:r>
    </w:p>
    <w:p>
      <w:r>
        <w:t>Das kantonale Gericht legte die diesbezüglich massgebenden Gesetzesbestimmungen und die von der Rechtsprechung entwickelten Grundsätze zutreffend dar. Darauf wird verwiesen ( Art. 109 Abs. 3 BGG ).</w:t>
      </w:r>
    </w:p>
    <w:p>
      <w:r>
        <w:rPr>
          <w:b/>
        </w:rPr>
        <w:t>E. 5.1</w:t>
      </w:r>
    </w:p>
    <w:p>
      <w:r>
        <w:t>In umfassender Würdigung der medizinischen Aktenlage verneinte die Vorinstanz das Vorliegen einer für eine Rentenzusprache bei Neuanmeldung erforderlichen anspruchsrelevanten Änderung des Invaliditätsgrades. Die Arbeitsfähigkeit der Beschwerdeführerin betrage im massgebenden Zeitpunkt der angefochtenen Verfügung - so das kantonale Gericht - sowohl in der angestammten wie auch in einer angepassten Tätigkeit 80 % und vermöge keinen rentenrelevanten Invaliditätsgrad zu begründen. Die Vorinstanz stützte sich dabei im Wesentlichen auf das psychiatrische Gutachten des PD Dr. med. B.________ vom 23. Februar 2018, dem sie vollen Beweiswert zumass. Sie zeigte auf, dass namentlich die medizinische Stellungnahme des Dr. med. C.________ und der D.________ vom 19. September 2018, zu der PD Dr. med. B.________ am 3. Dezember 2018 Stellung genommen habe, keine konkreten Indizien gegen die Zuverlässigkeit des Gutachtens vom 23. Februar 2018 zu begründen vermöge.</w:t>
      </w:r>
    </w:p>
    <w:p>
      <w:r>
        <w:rPr>
          <w:b/>
        </w:rPr>
        <w:t>E. 5.2</w:t>
      </w:r>
    </w:p>
    <w:p>
      <w:r>
        <w:t>Die vorinstanzlich getroffenen Tatsachenfeststellungen, namentlich die aus den medizinischen Unterlagen gewonnenen Erkenntnisse, sind im letztinstanzlichen Prozess grundsätzlich verbindlich (vgl. E. 2 hiervor). Im Rahmen der eingeschränkten Sachverhaltskontrolle ( Art. 97 Abs. 1 BGG ) ist es nicht Aufgabe des Bundesgerichts, die bereits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5.3</w:t>
      </w:r>
    </w:p>
    <w:p>
      <w:r>
        <w:t>Die Vorbringen der Beschwerdeführerin zeigen - jedenfalls soweit sie sich nicht auf den novenrechtlich unzulässigen Bericht des Dr. med. C.________ und der D.________ vom 23. Oktober 2019 (vgl. E. 3 hiervor) stützen - keine offensichtliche Unrichtigkeit des angefochtenen Urteils auf, zumal sie sich im Wesentlichen auf eine Wiederholung des bereits vorinstanzlich Vorgetragenen beschränken.</w:t>
      </w:r>
    </w:p>
    <w:p>
      <w:r>
        <w:rPr>
          <w:b/>
        </w:rPr>
        <w:t>E. 5.3.1</w:t>
      </w:r>
    </w:p>
    <w:p>
      <w:r>
        <w:t>Mit Blick auf die Rügen der Beschwerdeführerin ist darauf hinzuweisen, dass den von Versicherungsträgern im Verfahren nach Art. 44 ATSG eingeholten, den praxisgemässen Anforderungen entsprechenden Gutachten externer Spezialärzte (Administrativgutachten) voller Beweiswert zuerkannt werden darf, solange nicht konkrete Indizien gegen die Zuverlässigkeit der Expertise sprechen ( BGE 137 V 210 E. 1.3.4; 135 V 465 E. 4.4). Solche vermag die Beschwerdeführerin, wie die Vorinstanz zu Recht feststellte,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9C_338/2016 E. 5.5; Urteil 9C_527/2020 vom 9. Juli 2021 E. 3.1). Inwiefern solche Aspekte aus den medizinischen Akten hervorgehen sollten, ist weder ersichtlich noch in der Beschwerde rechtsgenüglich dargetan.</w:t>
      </w:r>
    </w:p>
    <w:p>
      <w:r>
        <w:rPr>
          <w:b/>
        </w:rPr>
        <w:t>E. 5.3.2</w:t>
      </w:r>
    </w:p>
    <w:p>
      <w:r>
        <w:t>Soweit die Beschwerdeführerin sodann die fachliche Eignung des PD Dr. med. B.________ in Zweifel zieht, bestreitet sie nicht, dass es sich beim Administrativgutachter um einen Spezialarzt FMH Psychiatrie und Psychotherapie für Erwachsene handelt. Damit ist er entgegen ihren Ausführungen fachlich genügend ausgebildet, um ein psychiatrisches Gutachten über sie zu erstellen und in diesem Rahmen auch die Diagnose einer histrionischen Persönlichkeitsstörung zu diskutieren (vgl. Urteil 8C_460/2017 vom 1. Februar 2018 E. 5.5; JACQUES OLIVIER PIGUET, in: Commentaire romand, Loi sur la partie générale des assurances sociales, 2018, N. 40 zu Art. 44 ATSG ; MASSIMO ALIOTTA, in: Basler Kommentar, Allgemeiner Teil des Sozialversicherungsrechts, 2020, N. 29 zu Art. 44 ATSG ).</w:t>
      </w:r>
    </w:p>
    <w:p>
      <w:r>
        <w:rPr>
          <w:b/>
        </w:rPr>
        <w:t>E. 5.3.3</w:t>
      </w:r>
    </w:p>
    <w:p>
      <w:r>
        <w:t>Unzutreffend ist schliesslich der Einwand der Beschwerdeführerin, der Gutachter habe sich nicht mit den abweichenden Einschätzungen der behandelnden Fachpersonen auseinandergesetzt. Wie die Vorinstanz aufzeigte, legte PD Dr. med. B.________ bereits im Gutachten vom 23. Februar 2018 und insbesondere in der ergänzenden Stellungnahme vom 3. Dezember 2018 ausführlich dar, weshalb er an sämtlichen seiner von den behandelnden Fachpersonen divergierenden Beurteilungen festhalte. Insbesondere führte er nachvollziehbar aus, weshalb seines Erachtens entgegen der Meinung der behandelnden Psychologin die diagnostischen Kriterien gemäss ICD-10 für eine histrionische Persönlichkeitsstörung nicht hinreichend erfüllt seien. Bei der Diskussion dieser Kriterien wertete der Gutachter namentlich die Pflege und Sorge um das äussere Erscheinungsbild als sich in der Bandbreite der gesellschaftlichen Norm bewegend und - entgegen den behandelnden Berichterstatter - nicht als Ausdruck eines pathologischen Geschehens. Da der Frage nach dem äusseren Erscheinungsbild der Beschwerdeführerin indessen letztlich keine entscheidende Bedeutung zukommt, durfte die Vorinstanz entgegen der Auffassung der Beschwerdeführerin von diesbezüglichen Weiterungen absehen ohne dadurch Bundesrecht zu verletzen.</w:t>
      </w:r>
    </w:p>
    <w:p>
      <w:r>
        <w:rPr>
          <w:b/>
        </w:rPr>
        <w:t>E. 5.4</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Weil von zusätzlichen medizinischen Abklärungsmassnahmen keine neuen entscheidwesentlichen Aufschlüsse zu erwarten sind, konnte und kann auf die eventualiter beantragte Einholung eines weiteren Gutachtens verzichtet werden (antizipierte Beweiswürdigung; BGE 144 V 361 E. 6.5).</w:t>
      </w:r>
    </w:p>
    <w:p>
      <w:r>
        <w:rPr>
          <w:b/>
        </w:rPr>
        <w:t>E. 6</w:t>
      </w:r>
    </w:p>
    <w:p>
      <w:r>
        <w:t>Die Beschwerde ist offensichtlich unbegründet. Sie wird daher im vereinfachten Verfahren nach Art. 109 Abs. 2 lit. a BGG mit summarischer Begründung und unter Verweis auf die Ausführungen des kantonalen Gerichts ( Art. 102 Abs. 1 und Art. 109 Abs. 3 BGG ) erledigt.</w:t>
      </w:r>
    </w:p>
    <w:p>
      <w:r>
        <w:rPr>
          <w:b/>
        </w:rPr>
        <w:t>E. 7</w:t>
      </w:r>
    </w:p>
    <w:p>
      <w:r>
        <w:t>Nachdem das Gesuch um unentgeltliche Rechtspflege im bundesgerichtlichen Verfahren mit Verfügung vom 24. Juni 2020 wegen Aussichtslosigkeit der Beschwerde abgewiesen worden ist,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