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8C_726/2018 vom 29. Mai 2019</w:t>
      </w:r>
    </w:p>
    <w:p>
      <w:r>
        <w:t>Bundesgericht, 2019-05-29, FR</w:t>
      </w:r>
    </w:p>
    <w:p>
      <w:r>
        <w:rPr>
          <w:b/>
        </w:rPr>
        <w:t xml:space="preserve">Quelle: </w:t>
      </w:r>
      <w:r>
        <w:t>https://mcp.opencaselaw.ch/entscheid/bger_8C_726_2018</w:t>
      </w:r>
    </w:p>
    <w:p>
      <w:r>
        <w:t>FR: TF 8C_726/2018 du 29 mai 2019</w:t>
      </w:r>
    </w:p>
    <w:p>
      <w:r>
        <w:t>IT: TF 8C_726/2018 del 29 maggio 2019</w:t>
      </w:r>
    </w:p>
    <w:p>
      <w:pPr>
        <w:pStyle w:val="Heading2"/>
      </w:pPr>
      <w:r>
        <w:t>Erwägungen</w:t>
      </w:r>
    </w:p>
    <w:p>
      <w:r>
        <w:rPr>
          <w:b/>
        </w:rPr>
        <w:t>E. 1</w:t>
      </w:r>
    </w:p>
    <w:p>
      <w:r>
        <w:t>Le recours est dirigé contre un jugement par lequel la cour cantonale a rejeté le recours pour déni de justice. Aussi bien, la seule question qui peut être examinée ici par le Tribunal fédéral est-elle de savoir si ce rejet est fondé.</w:t>
      </w:r>
    </w:p>
    <w:p>
      <w:r>
        <w:rPr>
          <w:b/>
        </w:rPr>
        <w:t>E. 2</w:t>
      </w:r>
    </w:p>
    <w:p>
      <w:r>
        <w:t>Le Tribunal fédéral fonde son raisonnement juridique sur les faits constatés par l'autorité précédente (cf. art. 105 al. 1 LTF ), à moins que ces faits n'aient été établis de façon manifestement inexacte - notion qui correspond à celle d'arbitraire au sens de l' art. 9 Cst. ( ATF 141 IV 249 consid. 1.3.1 p. 253) - ou en violation du droit au sens de l' art. 95 LTF (cf. art. 105 al. 2 LTF ) et si la correction du vice est susceptible d'influer sur le sort de la cause, ce qu'il appartient au recourant de démontrer de manière claire et circonstanciée ( ATF 136 II 101 consid. 3 p. 104).</w:t>
      </w:r>
    </w:p>
    <w:p>
      <w:r>
        <w:rPr>
          <w:b/>
        </w:rPr>
        <w:t>E. 3</w:t>
      </w:r>
    </w:p>
    <w:p>
      <w:r>
        <w:t>La cour cantonale a rejeté le grief d'inaction invoqué à l'encontre de Helvetia. Elle a relevé que l'assurée avait été clairement informée, par décision du 2 juin 2016, du refus de l'assureur-accidents de prendre en charge les troubles annoncés comme rechute le 13 novembre 2015. Faute d'opposition, cette décision était entrée en force. En tant que l'assurée entendait mettre la facture de l'Hôpital G.________ à la charge de l'assurance-accidents au titre d'un traitement lié à un accident, force était de constater que Helvetia s'était déjà déterminée sur cette question en niant son obligation de prester le 2 juin 2016.</w:t>
      </w:r>
    </w:p>
    <w:p>
      <w:r>
        <w:rPr>
          <w:b/>
        </w:rPr>
        <w:t>E. 4</w:t>
      </w:r>
    </w:p>
    <w:p>
      <w:r>
        <w:t>En l'espèce, les recourants font valoir que toutes les consultations médicales effectuées en lien avec le genou gauche de B.A.________ ont pour origine l'accident du 25 août 2012 et ne relèvent pas d'une maladie. Il s'agissait apparemment d'une erreur du docteur E.________ qui, pour l'intervention du 19 juin 2013, avait rempli la feuille de réservation prévue en cas de "maladie".</w:t>
      </w:r>
    </w:p>
    <w:p>
      <w:r>
        <w:t>Dès lors que les arguments des recourants portent essentiellement sur le fond de l'affaire, on peut douter que le recours remplisse l'exigence d'une motivation topique. Quoi qu'il en soit, le jugement attaqué n'est pas critiquable. En effet, on ne voit pas qu'on puisse reprocher à Helvetia, en 2018, un prétendu refus de statuer alors qu'elle avait déjà signifié aux recourants, par décision du 2 juin 2016, son refus de couvrir les frais de traitement de la rechute annoncée en novembre 2015. Cette décision étant entrée en force faute d'avoir été contestée en temps utile par la voie de l'opposition ( art. 52 LPGA ; RS 830.1), Helvetia n'avait pas à rendre une nouvelle décision sur le même objet.</w:t>
      </w:r>
    </w:p>
    <w:p>
      <w:r>
        <w:rPr>
          <w:b/>
        </w:rPr>
        <w:t>E. 5</w:t>
      </w:r>
    </w:p>
    <w:p>
      <w:r>
        <w:t>Vu ce qui précède, le recours, pour autant que recevable, se révèle manifestement infondé, de sorte qu'il convient de liquider la cause selon la procédure simplifiée prévue à l' art. 109 al. 2 LTF .</w:t>
      </w:r>
    </w:p>
    <w:p>
      <w:r>
        <w:t>Les recourant, qui succombent, doivent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