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8C_726/2015 vom 19. Januar 2016</w:t>
      </w:r>
    </w:p>
    <w:p>
      <w:r>
        <w:t>Bundesgericht, 2016-01-19, DE</w:t>
      </w:r>
    </w:p>
    <w:p>
      <w:r>
        <w:rPr>
          <w:b/>
        </w:rPr>
        <w:t xml:space="preserve">Quelle: </w:t>
      </w:r>
      <w:r>
        <w:t>https://mcp.opencaselaw.ch/entscheid/bger_8C_726_2015</w:t>
      </w:r>
    </w:p>
    <w:p>
      <w:r>
        <w:t>FR: TF 8C_726/2015 du 19 janvier 2016</w:t>
      </w:r>
    </w:p>
    <w:p>
      <w:r>
        <w:t>IT: TF 8C_726/2015 del 19 gennaio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2.3</w:t>
      </w:r>
    </w:p>
    <w:p>
      <w:r>
        <w:t>Streitig und zu prüfen ist, ob die Vorinstanz Bundesrecht verletzte, als sie die Rentenaufhebung auf Ende des der Eröffnung der Verfügung vom 3. März 2014 folgenden Monats bestätigte.</w:t>
      </w:r>
    </w:p>
    <w:p>
      <w:r>
        <w:rPr>
          <w:b/>
        </w:rPr>
        <w:t>E. 3.1</w:t>
      </w:r>
    </w:p>
    <w:p>
      <w:r>
        <w:t>Das kantonale Gericht hat in umfassender Würdigung der medizinischen Akten, insbesondere jedoch durch den Vergleich des Gutachtens des Dr. med. B.________, FMH Psychiatrie und Psychotherapie, vom 1. Oktober 2012 mit der Aktenlage im Zeitpunkt der rentenzusprechenden Verfügung für das Bundesgericht grundsätzlich verbindlich festgestellt, dass sich der Gesundheitszustand des Versicherten im massgebenden Zeitraum erheblich verbessert hat und nunmehr keine erhebliche Einschränkung in der Arbeitsfähigkeit mehr besteht. Was der Beschwerdeführer gegen diese Feststellung vorbringt, vermag sie nicht als bundesrechtswidrig erscheinen zu lassen. Insbesondere durften Vorinstanz und Verwaltung auf nähere Abklärungen zur tatsächlichen Dauer des Explorationsgesprächs zwischen dem Versicherten und Dr. med. B.________ verzichten, hängt doch der Beweiswert des Gutachtens von seinem Inhalt und seiner Schlüssigkeit und nicht von der Dauer der Exploration ab (vgl. Urteil 8C_558/2015 vom 22. Dezember 2015 E. 4.2.3 mit weiteren Hinweisen).</w:t>
      </w:r>
    </w:p>
    <w:p>
      <w:r>
        <w:rPr>
          <w:b/>
        </w:rPr>
        <w:t>E. 3.2</w:t>
      </w:r>
    </w:p>
    <w:p>
      <w:r>
        <w:t>Durfte somit die Vorinstanz gestützt auf das Gutachten des Dr. med. B.________ einen Revisionsgrund im Sinne von Art. 17 ATSG bejahen, so ist der Invaliditätsgrad für die Zukunft neu zu bestimmen. Der Beschwerdeführer macht geltend, Vorinstanz und Verwaltung hätten zu Unrecht keinen Einkommensvergleich nach Art. 16 ATSG vorgenommen. In der Tat hatte der Versicherte seine angestammte Tätigkeit aus gesundheitlichen Gründen verloren. Allerdings legt er nicht dar, weshalb ihm - der gemäss den verbindlichen Feststellungen der Vorinstanz in seiner Arbeitsfähigkeit nicht eingeschränkt ist - nicht möglich sein sollte, ein rentenausschliessendes Invalideneinkommen zu erzielen. Bei einem geltend gemachten Valideneinkommen von Fr. 80'000.- für das Jahr 2014 kann ein Invaliditätsgrad von mindestens 40 % ohne weiteres verneint werden.</w:t>
      </w:r>
    </w:p>
    <w:p>
      <w:r>
        <w:rPr>
          <w:b/>
        </w:rPr>
        <w:t>E. 3.3</w:t>
      </w:r>
    </w:p>
    <w:p>
      <w:r>
        <w:t>Der Beschwerdeführer macht vor Bundesgericht erstmals geltend, von der IV-Stelle nicht rechtsgenüglich über die Rechtsfolgen seiner Widersetzlichkeit gegenüber Eingliederungsmassnahmen hingewiesen worden zu sein. Ob die entsprechende Rüge mit Blick auf Art. 99 BGG zulässig ist, erscheint zweifelhaft, braucht aber vorliegend nicht abschliessend geprüft zu werden: In seiner Argumentation übersieht der Beschwerdeführer, dass sich die Rentenaufhebung nicht auf Art. 21 Abs. 4 ATSG , sondern auf Art. 17 ATSG stützte. Zwar trifft es zu, dass er aufgrund seines über fünfzehnjährigen Rentenbezugs zur Kategorie jener Versicherten zählt, bei denen die Fähigkeit zu einer Selbsteingliederung nicht ohne weiteres vorausgesetzt werden kann (vgl. BGE 141 V 5 ). Auch wenn er damit grundsätzlich Anspruch auf Eingliederungsmassnahmen vor Rentenaufhebung hätte, setzte dieser Anspruch jedoch Eingliederungswillen bzw. eine subjektive Eingliederungsfähigkeit voraus; fehlt es daran, so entfällt der Anspruch auf Eingliederungsmassnahmen, ohne dass zunächst ein Mahn- und Bedenkzeitverfahren durchgeführt werden müsste (vgl. Urteil 9C_231/2015 vom 7. September 2015 E. 4.2 mit weiteren Hinweisen). Gemäss den unbestritten gebliebenen Feststellungen der Vorinstanz hat der Versicherte gegenüber der IV-Stelle erklärt, er könne nicht arbeiten und sich nicht vorstellen, an beruflichen Eingliederungsmassnahmen mitzuwirken. Auch im weiteren Verfahrensverlauf zeigte er kein Interesse an solchen Massnahmen. Somit hat die Vorinstanz nicht gegen Bundesrecht verstossen, als sie die Rentenaufhebung ohne vorgängige Durchführung von Eingliederungsmassnahmen bestätigte; demgemäss ist die Beschwerde des Versicherten abzuweisen.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