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8C_726/2014 vom 2. April 2015</w:t>
      </w:r>
    </w:p>
    <w:p>
      <w:r>
        <w:t>Bundesgericht, 2015-04-02, DE</w:t>
      </w:r>
    </w:p>
    <w:p>
      <w:r>
        <w:rPr>
          <w:b/>
        </w:rPr>
        <w:t xml:space="preserve">Quelle: </w:t>
      </w:r>
      <w:r>
        <w:t>https://mcp.opencaselaw.ch/entscheid/bger_8C_726_2014</w:t>
      </w:r>
    </w:p>
    <w:p>
      <w:r>
        <w:t>FR: TF 8C_726/2014 du 2 avril 2015</w:t>
      </w:r>
    </w:p>
    <w:p>
      <w:r>
        <w:t>IT: TF 8C_726/2014 del 2 aprile 2015</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für den Rentenanspruch massgeblichen Bestimmungen und Grundsätze zutreffend dargelegt. Es wird darauf verwiesen.</w:t>
      </w:r>
    </w:p>
    <w:p>
      <w:r>
        <w:rPr>
          <w:b/>
        </w:rPr>
        <w:t>E. 3</w:t>
      </w:r>
    </w:p>
    <w:p>
      <w:r>
        <w:t>Die Beschwerdeführerin macht sinngemäss im Wesentlichen geltend, dass ihr eine 100-prozentige Arbeitsfähigkeit entgegen der Ansicht von Verwaltung und Vorinstanz nicht zuzumuten sei. Ihre Einschränkungen durch die Handgelenksbeschwerden seien nicht hinreichend berücksichtigt worden. Auf die Einschätzung des SUVA-Kreisarztes könne nicht abgestellt werden. Wie schon vor dem kantonalen Gericht beruft sie sich insbesondere auf den Berufsberater der Invalidenversicherung, welcher in seiner Notiz über das Erstgespräch bestätigt habe, dass die Hand bereits am Morgen geschwollen und zittrig gewesen sei, und eine Eingliederung in die freie Wirtschaft als unrealistisch betrachtete.</w:t>
      </w:r>
    </w:p>
    <w:p>
      <w:r>
        <w:rPr>
          <w:b/>
        </w:rPr>
        <w:t>E. 4</w:t>
      </w:r>
    </w:p>
    <w:p>
      <w:r>
        <w:t>Das kantonale Gericht hat die medizinischen Akten einlässlich gewürdigt und sich zum Beweiswert des beanstandeten kreisärztlichen Berichtes eingehend und zutreffend geäussert ( BGE 139 V 225 E. 5.2 S. 229). Die Beschwerdeführerin räumt ein, dass Dr. med. D.________, Orthopädische Chirurgie FMH, in seinem Gutachten vom 21. Januar 2013 zur Frage eines allfälligen ärztlichen Kunstfehlers keine Stellung genommen hat zur Arbeitsfähigkeit in einer Verweistätigkeit. Es liegen damit keine medizinischen Einschätzungen vor, die Zweifel an der Zuverlässigkeit und Schlüssigkeit der versicherungsinternen ärztlichen Feststellungen zu begründen vermöchten. Aber auch anhand der erwähnten Notiz des Berufsberaters der Invalidenversicherung ergeben sich keine Widersprüche. Der SUVA-Kreisarzt bescheinigte ausdrücklich, dass die Beschwerdeführerin ihre rechte Hand nur noch als Zudienhand einsetzen könne. Das Bundesgericht hat wiederholt bestätigt, dass die faktische Einhändigkeit oder die Beschränkung der dominanten Hand als Zudienhand Tatbestände einer erheblich erschwerten Verwertbarkeit der Arbeitsfähigkeit auch auf einem ausgeglichenen Arbeitsmarkt darstellen, dass jedoch genügend realistische Betätigungsmöglichkeiten zu finden sind (Urteil 8C_1050/2009 vom 28. April 2010 E. 3.4). Eine dem Handleiden angepasste leichte Tätigkeit ist ihr deshalb zuzumuten, ohne dass die beantragten weiteren Abklärungen angezeigt wären. Dass die Beschwerdeführerin ihre rechte Hand nur noch beschränkt einsetzen kann, hat die SUVA beim Invalideneinkommen mit einem leidensbedingten Abzug vom Tabellenlohn in der Höhe von 20 Prozent berücksichtigt, was nicht beanstandet wird.</w:t>
      </w:r>
    </w:p>
    <w:p>
      <w:r>
        <w:rPr>
          <w:b/>
        </w:rPr>
        <w:t>E. 5</w:t>
      </w:r>
    </w:p>
    <w:p>
      <w:r>
        <w:t>Das Verfahren ist kostenpflichtig ( Art. 65 BGG ). 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