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8C_725/2020 vom 22. Dezember 2020</w:t>
      </w:r>
    </w:p>
    <w:p>
      <w:r>
        <w:t>Bundesgericht, 2020-12-22, DE</w:t>
      </w:r>
    </w:p>
    <w:p>
      <w:r>
        <w:rPr>
          <w:b/>
        </w:rPr>
        <w:t xml:space="preserve">Quelle: </w:t>
      </w:r>
      <w:r>
        <w:t>https://mcp.opencaselaw.ch/entscheid/bger_8C_725_2020</w:t>
      </w:r>
    </w:p>
    <w:p>
      <w:r>
        <w:t>FR: TF 8C_725/2020 du 22 décembre 2020</w:t>
      </w:r>
    </w:p>
    <w:p>
      <w:r>
        <w:t>IT: TF 8C_725/2020 del 22 dicembre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Abweisung des Neuanmeldegesuchs durch die Beschwerdegegnerin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so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Es steht fest und ist unbestritten, dass sich der Gesundheitszustand des Beschwerdeführers seit der letzten rentenablehnenden Verfügung verschlechtert hat. Insbesondere ist er aus gesundheitlichen Gründen nicht mehr in der Lage, seiner angestammten Tätigkeit als Kellner (oder seiner zwischenzeitlichen Tätigkeit als Taxifahrer) ohne Einschränkungen nachzugehen. Zu Recht hat das kantonale Gericht daher geprüft, ob die festgestellte Veränderung des Gesundheitszustands genügt, um nunmehr eine anspruchsbegründende Invalidität zu bejahen. Das kantonale Gericht hat in umfassender Würdigung der medizinischen Akten, insbesondere aber gestützt auf das Gutachten des ABI vom 20. März 2018, für das Bundesgericht grundsätzlich verbindlich festgestellt, dass der Beschwerdeführer von Juli bis November 2016 vollständig arbeitsunfähig war, danach aber in einer angepassten Tätigkeit von einer zunächst 80%igen, ab Dezember 2017 von einer 70%igen Arbeitsfähigkeit auszugehen ist.</w:t>
      </w:r>
    </w:p>
    <w:p>
      <w:r>
        <w:rPr>
          <w:b/>
        </w:rPr>
        <w:t>E. 4.2</w:t>
      </w:r>
    </w:p>
    <w:p>
      <w:r>
        <w:t>Auf ein im Verfahren nach Art. 44 ATSG eingeholtes Gutachten ist rechtsprechungsgemäss abzustellen, wenn nicht konkrete Indizien gegen die Zuverlässigkeit der Expertise sprechen ( BGE 135 V 465 E. 4.4 S. 470). Solche konkrete Indizien vermag der Beschwerdeführer vorliegend keine zu nennen. So diagnostizierten die Gutachter des ABI unter anderem eine leichte bis mittelgradige depressive Episode; damit haben sie sich offensichtlich mit dem Schweregrad der Depression auseinandergesetzt. Die anderslautenden Ausführungen in der Beschwerde, wonach die Gutachter nicht geprüft haben sollen, ob allenfalls eine schwere Depression vorliegt, erweisen sich demnach als nicht überzeugend. Weiter ist das Gutachten nachvollziehbar und schlüssig; insbesondere ist es nicht widersprüchlich, wenn die Gutachter einerseits eine (wenn auch eingeschränkte) Arbeitsfähigkeit attestieren, andererseits festhalten, dass der Explorand - aufgrund einer deutlich ausgeprägten Krankheits- und Behinderungsüberzeugung - in absehbarer Zeit nicht wieder einer Erwerbstätigkeit nachgehen wird. Wenn der neurologische Teilgutachter schliesslich eine ergänzende Untersuchung vorschlägt, auf eine solche selber verzichtet, die gestellten Gutachterfragen aber beantwortet, so ist daraus zu schliessen, dass die vorgeschlagene Untersuchung nach Ansicht des Gutachters zur Beantwortung dieser Fragen entbehrlich ist. Damit hat das kantonale Gericht nicht gegen den Untersuchungsgrundsatz verstossen, als es von Weiterungen zu diesem Punkt absah.</w:t>
      </w:r>
    </w:p>
    <w:p>
      <w:r>
        <w:rPr>
          <w:b/>
        </w:rPr>
        <w:t>E. 4.3</w:t>
      </w:r>
    </w:p>
    <w:p>
      <w:r>
        <w:t>Der Beschwerdeführer erlitt am 27. März 2019 - und damit nach der Begutachtung durch das ABI aber noch vor Erlass der angefochtenen Verfügung - eine Synkope (Bewusstlosigkeit) unklarer Ätiologie mit Verletzungsfolge. Gemäss den verbindlichen vorinstanzlichen Feststellungen hat diese Synkope indessen keine invalidenversicherungsrechtlich relevante andauernde Verschlechterung des Gesundheitszustandes zur Folge. Inwiefern diese Feststellung offensichtlich unrichtig oder sonstwie bundesrechtswidrig sein sollte, wird vom Beschwerdeführer nicht dargelegt. Eine relevante Verschlechterung ist im Übrigen auch dem Bericht des behandelnden Dr. med. B.________, FMH Psychiatrie und Psychotherapie, vom 25. Januar 2020 nicht zu entnehmen, beschreibt dieser doch bei gleichgebliebener Diagnose auch subjektiv ein seit 2018 unverändertes Beschwerdebild. Somit durfte die Vorinstanz auch auf weitere Abklärungen zu einer allfälligen Veränderung des psychischen Gesundheitsschadens verzichten.</w:t>
      </w:r>
    </w:p>
    <w:p>
      <w:r>
        <w:rPr>
          <w:b/>
        </w:rPr>
        <w:t>E. 4.4</w:t>
      </w:r>
    </w:p>
    <w:p>
      <w:r>
        <w:t>Ausgehend von einer zunächst 80%igen, später 70%igen Arbeitsfähigkeit in einer angepassten Tätigkeit ermittelte das kantonale Gericht gestützt auf einen Einkommensvergleich einen rentenausschliessenden Invaliditätsgrad von zunächst 28 %, später 37 %. Der Beschwerdeführer macht geltend, aufgrund seiner Einschränkungen sei vom Invalideneinkommen ein Abzug in der Höhe von 15 % vorzunehmen, womit sich ein Invaliditätsgrad von 46 % ergebe.</w:t>
      </w:r>
    </w:p>
    <w:p>
      <w:r>
        <w:rPr>
          <w:b/>
        </w:rPr>
        <w:t>E. 4.4.1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erwerblichen Erfolg verwerten kann ( BGE 135 V 297 E. 5.2 S. 301 mit Hinweis).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8C_799/2018 vom 30. April 2019 E. 4.3 mit Hinweisen).</w:t>
      </w:r>
    </w:p>
    <w:p>
      <w:r>
        <w:t>Ob ein (behinderungsbedingter oder anderweitig begründeter) Abzug vom Tabellenlohn vorzunehmen ist, stellt eine vom Bundesgericht frei überprüfbare Rechtsfrage dar ( BGE 137 V 71 E. 5.1 S. 72).</w:t>
      </w:r>
    </w:p>
    <w:p>
      <w:r>
        <w:rPr>
          <w:b/>
        </w:rPr>
        <w:t>E. 4.4.2</w:t>
      </w:r>
    </w:p>
    <w:p>
      <w:r>
        <w:t>Gemäss den vorinstanzlichen Feststellungen ist der Beschwerdeführer aus polydisziplinärer Sicht auf eine körperlich leichte, wechselbelastende Tätigkeit mit häufig sitzenden Anteilen angewiesen. Im Gutachten des ABI wird wie folgt ausgeführt, was unter "körperlich leicht" zu verstehen ist: Zu vermeiden sind insbesondere das Bewegen von Lasten über 5 kg sowie der Einsatz der oberen Extremitäten oberhalb des Schulterniveaus. Entgegen den Vorbringen des Beschwerdeführers steht ihm mit diesen Einschränkungen auf dem theoretischen ausgeglichenen Arbeitsmarkt ein genügend breites Spektrum an Verweistätigkeiten offen. Sonstige Umstände, die es nahelegen würden, dass er seine verbliebene Arbeitsfähigkeit nur mit stark unterdurchschnittlichem Erfolg wird verwerten können, werden keine geltend gemacht. Der vorinstanzliche Verzicht auf einen Abzug vom Tabellenlohn verstösst damit nicht gegen Bundesrecht.</w:t>
      </w:r>
    </w:p>
    <w:p>
      <w:r>
        <w:rPr>
          <w:b/>
        </w:rPr>
        <w:t>E. 4.5</w:t>
      </w:r>
    </w:p>
    <w:p>
      <w:r>
        <w:t>Durfte das kantonale Gericht damit von einem Invaliditätsgrad von zunächst 28 %, später 37 % ausgehen, so hat es zu Recht die Abweisung des Neuanmeldegesuch durch die IV-Stelle bestätigt. Die Beschwerde ist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