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8C_725/2011 vom 24. August 2012</w:t>
      </w:r>
    </w:p>
    <w:p>
      <w:r>
        <w:t>Bundesgericht, 2012-08-24, FR</w:t>
      </w:r>
    </w:p>
    <w:p>
      <w:r>
        <w:rPr>
          <w:b/>
        </w:rPr>
        <w:t xml:space="preserve">Quelle: </w:t>
      </w:r>
      <w:r>
        <w:t>https://mcp.opencaselaw.ch/entscheid/bger_8C_725_2011</w:t>
      </w:r>
    </w:p>
    <w:p>
      <w:r>
        <w:t>FR: TF 8C_725/2011 du 24 août 2012</w:t>
      </w:r>
    </w:p>
    <w:p>
      <w:r>
        <w:t>IT: TF 8C_725/2011 del 24 agosto 2012</w:t>
      </w:r>
    </w:p>
    <w:p>
      <w:pPr>
        <w:pStyle w:val="Heading2"/>
      </w:pPr>
      <w:r>
        <w:t>Erwägungen</w:t>
      </w:r>
    </w:p>
    <w:p>
      <w:r>
        <w:rPr>
          <w:b/>
        </w:rPr>
        <w:t>E. 1</w:t>
      </w:r>
    </w:p>
    <w:p>
      <w:r>
        <w:t>Le litige porte sur le droit de la recourante à des indemnités journalières de l'assurance-accidents pour la période postérieure au 30 septembre 2004. Le Tribunal fédéral n'est donc pas lié par les faits établis par l'autorité précédente (art. 97 al. 2 et 105 al. 3 LTF).</w:t>
      </w:r>
    </w:p>
    <w:p>
      <w:r>
        <w:rPr>
          <w:b/>
        </w:rPr>
        <w:t>E. 2</w:t>
      </w:r>
    </w:p>
    <w:p>
      <w:r>
        <w:t>Invoquant une mauvaise appréciation des preuves, la recourante reproche à la juridiction cantonale de s'être fondée uniquement sur le rapport d'expertise de la clinique L.________, sans tenir compte des conclusions des docteurs D.________ et V.________ et sans expliquer pourquoi elle s'écartait de ces dernières.</w:t>
      </w:r>
    </w:p>
    <w:p>
      <w:r>
        <w:rPr>
          <w:b/>
        </w:rPr>
        <w:t>E. 2.1</w:t>
      </w:r>
    </w:p>
    <w:p>
      <w:r>
        <w:t>Ce grief n'est pas fondé. Les premiers juges ont exposé pourquoi ils accordaient pleine valeur probante aux conclusions de l'expertise L.________. En effet, la juridiction cantonale a retenu que cette expertise était claire, qu'elle reposait sur une description détaillée de l'anamnèse, contenait un volet familial et affectif, socioprofessionnel et psychiatrique ainsi que des plaintes de la recourante. Elle se fondait en outre sur des examens complets et tenait compte des avis des différents praticiens ayant examiné la recourante. La doctoresse B.________ avait notamment expliqué pour quels motifs elle ne retenait pas le diagnostic d'état de stress post-traumatique, les symptômes y relatifs étant inexistants. Quant à la doctoresse C.________, elle avait indiqué les raisons pour lesquelles elle s'écartait de l'hypothèse du docteur D.________ selon laquelle les tissus mous avaient subi un écrasement puissant expliquant les douleurs résiduelles. Les conclusions de l'expertise de la clinique L.________ étaient ainsi motivées et convaincantes. En outre, la juridiction cantonale a estimé que dans la mesure où tous les praticiens avaient constaté une consolidation de la fracture de la branche ischio-pubienne et l'absence de lésion organique, les plaintes de la recourante ne concordaient pas avec les éléments somatiques objectifs, de sorte qu'elles relevaient de troubles de nature psychique. Elle est toutefois arrivée à la conclusion que postérieurement au 30 septembre 2004, ceux-ci n'étaient plus en lien de causalité adéquate avec l'accident du 1er mai 2003.</w:t>
      </w:r>
    </w:p>
    <w:p>
      <w:r>
        <w:rPr>
          <w:b/>
        </w:rPr>
        <w:t>E. 2.2.1</w:t>
      </w:r>
    </w:p>
    <w:p>
      <w:r>
        <w:t>En l'espèce, et quoi qu'en dise la recourante, on ne se trouve pas en présence de deux groupes d'expertises - soit d'un côté celle des docteurs D.________ et V.________ et de l'autre, celle des expertes B.________ et C.________ - aboutissant à des conclusions diamétralement opposées, dont seules les secondes auraient été prises en compte à l'exclusion des premières. Il ressort en effet de tous les rapports médicaux se trouvant au dossier que sur le plan somatique, la recourante a subi une fracture de la partie supérieure de la branche ischio-pubienne gauche, laquelle était désormais consolidée. Certes, le docteur D.________ a émis l'hypothèse d'un écrasement puissant des tissus mous entourant la branche ischio-pubienne, lequel provoquait une réaction fibreuse cicatricielle richement innervée et expliquait le status douleureux résiduel. Toutefois, à supposer qu'il faille retenir cette hypothèse, en dépit du fait que l'IRM lombaire et du bassin pratiquée le 12 novembre 2003 n'objectivait aucune lésion des tissus mous et nobles, tous les médecins ont fait état d'une composante psychogène influençant la symptomatologie algique. Les médecins de la Clinique Z.________ ont relevé la présence de facteurs psychosociaux limitant le pronostic de reprise. Le docteur D.________ lui-même a précisé que la non reconnaissance de la culpabilité de la conductrice ayant «écrasé» la recourante influençait de manière défavorable le potentiel de récupération fonctionnelle. Enfin, les doctoresses B.________ et C.________ ont noté la présence de 3 signes sur 5 de non-organicité de Waddell ainsi qu'une certaine discordance entre l'importance des plaintes formulées et les constatations cliniques ostéo-articulaires. Quant à la capacité de travail sur le plan somatique, elle a été fixée à 75 % dans une activité adaptée par le docteur D.________, afin de tenir compte des douleurs résiduelles de la recourante. Pour les expertes de la clinique L.________, elle est de 75 % dans l'activité habituelle et de 100 % dans une activité adaptée. Compte tenu de l'absence d'éléments objectifs pouvant expliquer la persistance d'une symptomatologie décrite comme hyperalgique, il y a lieu de retenir, à l'instar des expertes de la clinique L.________, que dans une activité adaptée à ses limitations, la capacité de travail de la recourante était entière et ce, dès le mois de septembre 2004. Par ailleurs, la recourante ne prétend pas subir d'incapacité de gain dans une telle activité adaptée à ses limitations (voir en ce qui concerne l'évaluation de l'incapacité de travail en cas d'activité de substitution exigible: arrêt 8C_861/2008 du 7 juillet 2009 consid. 3 et la référence).</w:t>
      </w:r>
    </w:p>
    <w:p>
      <w:r>
        <w:rPr>
          <w:b/>
        </w:rPr>
        <w:t>E. 2.2.2</w:t>
      </w:r>
    </w:p>
    <w:p>
      <w:r>
        <w:t>Sur le plan psychiatrique, le docteur V.________ a posé le diagnostic d'état de stress post-traumatique consécutif à l'accident du 1er mai 2003, ainsi qu'une accentuation de traits de personnalité dépendante antérieure à l'accident. Dans son premier rapport d'expertise du 23 décembre 2004, il ne s'est pas prononcé sur la capacité de travail de la recourante, se contentant de mentionner qu'il n'était plus raisonnablement exigible que celle-ci travaille trois heures par semaine comme nettoyeuse en sus de son activité de femme au foyer.</w:t>
      </w:r>
    </w:p>
    <w:p>
      <w:r>
        <w:t>Dans son rapport complémentaire du 10 juin 2006, ce praticien a confirmé ses diagnostics et indiqué que d'un point de vue objectif, la capacité de travail exigible était de 50 %, compte tenu du manque de résistance au stress, de la fatigabilité, de la labilité émotionnelle et des troubles légers de la concentration accompagnant l'état de stress post-traumatique dans un contexte de douleurs chroniques réactivant constamment la symptomatologie anxieuse. Quoi qu'en dise la recourante, l'avis isolé du docteur V.________ ne peut être retenu. Il est en effet le seul à admettre une incapacité de travail pour des raisons psychiatriques. Le docteur H.________, psychiatre de la Clinique Z.________, a retenu un trouble de l'adaptation avec humeur dépressive. En revanche, il a considéré que l'état de stress post-traumatique, probablement présent au départ, était en rémission. Une capacité de travail de 75 % était exigible à partir du 5 avril 2004 avec une augmentation progressive jusqu'à 100 % au cours des semaines suivantes. Pour sa part, la doctoresse B.________ a constaté qu'il n'existait plus suffisamment de critères diagnostiques pour retenir un épisode dépressif ni de symptômes propres à un état de stress post-traumatique (ESPT). Si elle a fait état d'un amendement de l'état dépressif et de l'ESPT grâce à une psychothérapie de soutien hebdomadaire chez le docteur V.________ entre l'été 2005 et l'été 2006, elle n'en a pas pour autant retenu que ces affections avaient eu une influence sur la capacité de travail de la recourante avant 2005. Certes, la recourante faisait encore part de ses préoccupations quant aux suites juridiques de l'accident du 1er mai 2003, ce qui ne constituait pas un syndrome post-traumatique, même si la recourante y pensait beaucoup. En fin de compte, la doctoresse B.________ a conclu à une capacité de travail de 100 % sur le plan psychiatrique. En l'absence d'affection psychique propre à entraîner une incapacité de travail, il n'y a pas lieu d'examiner le cas à l'aune de la jurisprudence en matière de causalité adéquate entre des troubles psychiques additionnels à une atteinte à la santé physique et un accident assuré (voir ATF 115 V 403 ). Mal fondé, le recours doit être rejeté.</w:t>
      </w:r>
    </w:p>
    <w:p>
      <w:r>
        <w:rPr>
          <w:b/>
        </w:rPr>
        <w:t>E. 3</w:t>
      </w:r>
    </w:p>
    <w:p>
      <w:r>
        <w:t>Vu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