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8C_722/2008 vom 28. November 2008</w:t>
      </w:r>
    </w:p>
    <w:p>
      <w:r>
        <w:t>Bundesgericht, 2008-11-28, DE</w:t>
      </w:r>
    </w:p>
    <w:p>
      <w:r>
        <w:rPr>
          <w:b/>
        </w:rPr>
        <w:t xml:space="preserve">Quelle: </w:t>
      </w:r>
      <w:r>
        <w:t>https://mcp.opencaselaw.ch/entscheid/bger_8C_722_2008</w:t>
      </w:r>
    </w:p>
    <w:p>
      <w:r>
        <w:t>FR: TF 8C_722/2008 du 28 novembre 2008</w:t>
      </w:r>
    </w:p>
    <w:p>
      <w:r>
        <w:t>IT: TF 8C_722/2008 del 28 novembre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w:t>
      </w:r>
    </w:p>
    <w:p>
      <w:r>
        <w:rPr>
          <w:b/>
        </w:rPr>
        <w:t>E. 2.1</w:t>
      </w:r>
    </w:p>
    <w:p>
      <w:r>
        <w:t>Die Vorinstanz hat die Bestimmungen zum Ausschluss arbeitgeberähnlicher Personen sowie ihrer mitarbeitenden Ehegatten vom Anspruch auf Kurzarbeitsentschädigung ( Art. 31 Abs. 3 lit. b und c AVIG ) sowie die Rechtsprechung zur analogen Anwendung dieser Bestimmungen auf arbeitgeberähnliche Personen und deren Ehegatten, die Arbeitslosenentschädigung beanspruchen ( BGE 123 V 234 E. 7 S. 236 ff.; Thomas Nussbaumer, Arbeitslosenversicherung, in: Ulrich Meyer [Hrsg.], Schweizerisches Bundesverwaltungsrecht [SBVR], Band XIV, Soziale Sicherheit, 2. Aufl., Basel 2007, S. 2263 Rz. 275), zutreffend dargelegt. Richtig ist auch, dass diese Regelung nicht nur dem ausgewiesenen Missbrauch als solchem begegnen will, sondern bereits dem Risiko eines solchen, das der Ausrichtung von Arbeitslosenentschädigung an arbeitgeberähnliche Personen inhärent ist (ARV 2003 Nr. 22 S. 240 E. 4, C 92/02). Darauf wird verwiesen.</w:t>
      </w:r>
    </w:p>
    <w:p>
      <w:r>
        <w:rPr>
          <w:b/>
        </w:rPr>
        <w:t>E. 2.2</w:t>
      </w:r>
    </w:p>
    <w:p>
      <w:r>
        <w:t>Die Vorinstanz hat gestützt auf die Akten richtig erkannt, dass die Beschwerdeführerin auf den 30. November 2007 aus der Firma X.________ entlassen wurde, in welcher ihr Ehegatte bis zum Datum des Einspracheentscheides (3. Januar 2008; BGE 129 V 167 E. 1 S. 169) als Inhaber mit Einzelunterschrift im Handelsregister eingetragen und damit arbeitgeberähnliche Person war. Als in seinem Betrieb mitarbeitende Ehegattin könne die Beschwerdeführerin ab Dezember 2007 keine Arbeitslosenentschädigung beziehen. Der Vorinstanz ist beizupflichten. Gründe für eine Praxisänderung (zu deren allgemeinen Voraussetzungen vgl. BGE 134 V 72 E. 3.3 S. 76 mit Hinweisen) sind nicht ersichtlich.</w:t>
      </w:r>
    </w:p>
    <w:p>
      <w:r>
        <w:rPr>
          <w:b/>
        </w:rPr>
        <w:t>E. 2.3</w:t>
      </w:r>
    </w:p>
    <w:p>
      <w:r>
        <w:t>Die Beschwerdeführerin macht geltend, die Kasse bzw. die Sozialversicherungsanstalt hätten sie bzw. ihren Ehemann darauf aufmerksam machen müssen, dass sie als Ehepartnerin des Betriebsinhabers keinen Anspruch auf Arbeitslosenentschädigung haben werde; dann hätte wohl keiner von ihnen die Beiträge an die Arbeitslosenversicherung bezahlt. Hiezu ist festzuhalten, dass sich die Beschwerdeführerin vorinstanzlich nicht auf eine Verletzung der Aufklärungs- bzw. Beratungspflicht (vgl. Art. 27 ATSG ) berief. Es ist nicht einzusehen, weshalb sie entsprechende rechtserhebliche Einwände nicht bereits vorinstanzlich vorbrachte. Unter den gegebenen Umständen widerspricht ihr Vorgehen Treu und Glauben, zumal auch nicht gesagt werden kann, erst der vorinstanzliche Entscheid habe ihr zu diesen Einwänden Anlass gegeben. Demnach handelt es sich um unzulässige neue Vorbringen ( Art. 99 Abs. 1 BGG ; vgl. Urteil 8C_18/2007 vom 1. Februar 2008, E. 3.2 f. mit Hinweisen). Hievon abgesehen ist es nicht gerechtfertigt, die arbeitgeberähnliche Person bzw. ihren Arbeitgeber von der Pflicht zur Zahlung von Beiträgen an die Arbeitslosenversicherung auszunehmen (vgl. ARV 2005 Nr. 16 S. 201 E. 3 f., C 160/04). Unbehelflich ist auch der letztinstanzlich erstmals erhobene Einwand, in casu lägen weder ein Missbrauch noch eine Umgehung vor (vgl. E. 2.1 hievor).</w:t>
      </w:r>
    </w:p>
    <w:p>
      <w:r>
        <w:rPr>
          <w:b/>
        </w:rPr>
        <w:t>E. 2.4</w:t>
      </w:r>
    </w:p>
    <w:p>
      <w:r>
        <w:t>Soweit die Beschwerdeführerin vorinstanzlich die Durchführung einer öffentlichen Verhandlung verlangte und diesen Antrag vor Bundesgericht erneuert, kann dem nicht gefolgt werden, da der massgebende Sachverhalt aktenmässig erstellt ist und dessen Beurteilung nicht vom persönlichen Eindruck der Partei abhängt (vgl. in SVR 2006 BVG Nr. 19 S. 66 publ. E. 3.2.1 des Urteils BGE 132 V 127 , Urteil 9C_555/2007 vom 6. Mai 2008, E. 3.3.2, je mit Hinweisen).</w:t>
      </w:r>
    </w:p>
    <w:p>
      <w:r>
        <w:rPr>
          <w:b/>
        </w:rPr>
        <w:t>E. 3</w:t>
      </w:r>
    </w:p>
    <w:p>
      <w:r>
        <w:t>Die offensichtlich unbegründete Beschwerde wird im Verfahren nach Art. 109 Abs. 2 lit. a BGG erledigt.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