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721/2022 vom 10. Januar 2023</w:t>
      </w:r>
    </w:p>
    <w:p>
      <w:r>
        <w:t>Bundesgericht, 2023-01-10, DE</w:t>
      </w:r>
    </w:p>
    <w:p>
      <w:r>
        <w:rPr>
          <w:b/>
        </w:rPr>
        <w:t xml:space="preserve">Quelle: </w:t>
      </w:r>
      <w:r>
        <w:t>https://mcp.opencaselaw.ch/entscheid/bger_8C_721_2022</w:t>
      </w:r>
    </w:p>
    <w:p>
      <w:r>
        <w:t>FR: TF 8C 721/2022 du 10 janvier 2023</w:t>
      </w:r>
    </w:p>
    <w:p>
      <w:r>
        <w:t>IT: TF 8C 721/2022 del 10 gennaio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Verwaltungsgericht des Kantons Bern gelangte im Urteil vom 4. November 2022 in Auseinandersetzung mit den Parteivorbringen und in Würdigung der Akten zur Überzeugung, das kantonale Amt für Arbeitslosenversicherung habe den Beschwerdeführer zu Recht für die Dauer von vier Tagen in der Anspruchsberechtigung auf Arbeitslosentaggelder eingestellt. Dabei legte es einlässlich dar, - weshalb es für den Beschwerdeführer bei Aufbringen der ihm zumutbaren Aufmerksamkeit hätte klar sein müssen, bis wann er die Arbeitszeitnachweise jeweils hätte erbringen müssen, so auch für den April 2022, - warum kein Entschuldigungsgrund ausgewiesen sei, der einen Sanktionsverzicht erlaubt hätte, sowie - weshalb die von der Verwaltung verfügte, (bereits) im untersten Bereich des leichten Verschuldens liegende Einstelldauer nicht zu beanstanden sei.</w:t>
      </w:r>
    </w:p>
    <w:p>
      <w:r>
        <w:rPr>
          <w:b/>
        </w:rPr>
        <w:t>E. 3</w:t>
      </w:r>
    </w:p>
    <w:p>
      <w:r>
        <w:t>Der Beschwerdeführer beschränkt sich letztinstanzlich im Wesentlichen darauf, sein Fehlverhalten zu erklären (Missverständnis) und einen Verzicht auf eine Einstellung zu fordern, weil Gegenteiliges ihn demotiviere. Damit ist den eingangs dargelegten Mindestanforderungen an eine sachbezogene Beschwerdebegründung offensichtlich nicht Genüge getan. Inwiefern die vom kantonalen Gericht zum angeblichen Missverständnis getroffenen Sachverhaltsfeststellungen (Kenntnis mehrerer Formulare, worin auf die vom Beschwerdeführer verletzte Pflicht deutlich hingewiesen wurde) im Sinne von Art. 97 Abs. 1 BGG - soweit überhaupt beanstandet - unzutreffend sein sollen, ist damit nicht dargelegt. Genauso wenig wird in der Beschwerde aufgezeigt, inwieweit die auf dieser Sachverhaltsfeststellung beruhenden Erwägungen gegen Bundesrecht verstossen oder einen anderen Beschwerdegrund (vgl. Art. 95 lit. a-e BGG ) gesetzt haben soll. Die beschwerdeführerischen Vorbringen des Beschwerdeführers gehen insgesamt offensichtlich nicht über eine letztinstanzlich unzulässige appellatorische Kritik hinaus.</w:t>
      </w:r>
    </w:p>
    <w:p>
      <w:r>
        <w:rPr>
          <w:b/>
        </w:rPr>
        <w:t>E. 4</w:t>
      </w:r>
    </w:p>
    <w:p>
      <w:r>
        <w:t>Liegt offensichtlich keine hinreichend sachbezogen begründete Beschwerde vor,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