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8C_721/2009 vom 27. April 2010</w:t>
      </w:r>
    </w:p>
    <w:p>
      <w:r>
        <w:t>Bundesgericht, 2010-04-27, FR</w:t>
      </w:r>
    </w:p>
    <w:p>
      <w:r>
        <w:rPr>
          <w:b/>
        </w:rPr>
        <w:t xml:space="preserve">Quelle: </w:t>
      </w:r>
      <w:r>
        <w:t>https://mcp.opencaselaw.ch/entscheid/bger_8C_721_2009</w:t>
      </w:r>
    </w:p>
    <w:p>
      <w:r>
        <w:t>FR: TF 8C_721/2009 du 27 avril 2010</w:t>
      </w:r>
    </w:p>
    <w:p>
      <w:r>
        <w:t>IT: TF 8C_721/2009 del 27 aprile 2010</w:t>
      </w:r>
    </w:p>
    <w:p>
      <w:pPr>
        <w:pStyle w:val="Heading2"/>
      </w:pPr>
      <w:r>
        <w:t>Erwägungen</w:t>
      </w:r>
    </w:p>
    <w:p>
      <w:r>
        <w:rPr>
          <w:b/>
        </w:rPr>
        <w:t>E. 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w:t>
      </w:r>
    </w:p>
    <w:p>
      <w:r>
        <w:t>Le litige porte sur le point de savoir si la DJSE était fondée à déclarer l'intimé inapte au placement depuis le 1er décembre 2006.</w:t>
      </w:r>
    </w:p>
    <w:p>
      <w:r>
        <w:rPr>
          <w:b/>
        </w:rPr>
        <w:t>E. 3</w:t>
      </w:r>
    </w:p>
    <w:p>
      <w:r>
        <w:t>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 C 353/00 du 16 juillet 2001 consid. 2b).</w:t>
      </w:r>
    </w:p>
    <w:p>
      <w:r>
        <w:t>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arrêt C 276/03 du 23 mars 2005 consid. 5; voir aussi ATF 112 V 326 consid. 3d p. 329 s; Boris Rubin, Assurance-chômage, 2e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op. cit. , p. 221 et note 609).</w:t>
      </w:r>
    </w:p>
    <w:p>
      <w:r>
        <w:rPr>
          <w:b/>
        </w:rPr>
        <w:t>E. 4</w:t>
      </w:r>
    </w:p>
    <w:p>
      <w:r>
        <w:t>Les premiers juges ont retenu que la prise d'une activité indépendante par l'assuré semblait refléter sa réaction au chômage ainsi que son intention de diminuer le dommage et non une aspiration professionnelle. Par ailleurs, ils ont estimé que plusieurs indications permettaient de retenir que R.________ était en mesure d'abandonner son activité indépendante et qu'il l'aurait fait dans un temps opportun s'il avait trouvé un travail salarié convenable. Ainsi, l'assuré avait effectué durant la période litigieuse dix recherches d'emploi par mois et avait déclaré qu'il pouvait à bref délai renoncer à ses projets si la possibilité d'occuper un emploi salarié se présentait. Les premiers juges ont considéré qu'aucun élément du dossier ne permettait de mettre en doute cette déclaration. En particulier, au regard des comptes, les dispositions prises et les investissements effectués étaient relativement modestes et l'assuré aurait pu les liquider facilement. Les dépenses consenties se limitaient pour l'essentiel à la location d'un local et à l'achat de différentes fournitures. De plus l'infrastructure de l'entreprise était rudimentaire, l'assuré n'ayant pas engagé du personnel. De surcroît, l'activité consistant en la pose de produits luminescents sur aiguilles et cadrans de montres ne nécessitait pas un suivi et/ou un engagement à long terme. Les premiers juges ont conclu qu'il n'y avait pas d'éléments suffisants au dossier qui permettaient de déduire, selon le principe de la plus grande vraisemblance, qu'à partir du 1er décembre 2006 R.________ n'aurait pas été disposé à abandonner si nécessaire son activité indépendante au profit d'un emploi, réputé convenable, qui se serait offert à lui ou qui lui aurait été assigné par l'administration. Le fait que l'intimé n'avait pas immédiatement annoncé son activité indépendante aux organes de l'assurance-chômage et qu'il avait en outre démontré de l'intérêt pour ce type d'activité n'était pas de nature à modifier cette appréciation.</w:t>
      </w:r>
    </w:p>
    <w:p>
      <w:r>
        <w:rPr>
          <w:b/>
        </w:rPr>
        <w:t>E. 5.1</w:t>
      </w:r>
    </w:p>
    <w:p>
      <w:r>
        <w:t>Le Service de l'emploi reproche tout d'abord à la juridiction cantonale de s'être fondée entièrement sur les déclarations de l'assuré émises au stade du recours cantonal. Il fait valoir que l'assuré a clairement modifié et complété ses premières déclarations en connaissance de cause: celles-ci ne correspondent pas à celles qu'il a faites dans le cadre de la procédure administrative. Ainsi, il a affirmé dans un courriel du 11 avril 2007 qu'il ne pouvait pas fournir les dates, jours et nombre d'heures de travail par jour au cours desquels il a exercé son activité indépendante, mais a déclaré dans son recours cantonal qu'il travaillait en moyenne entre deux à trois heures par jour dans son activité indépendante, ce à partir de 18 heures, le reste de la journée étant consacré à la recherche d'emploi.</w:t>
      </w:r>
    </w:p>
    <w:p>
      <w:r>
        <w:rPr>
          <w:b/>
        </w:rPr>
        <w:t>E. 5.2</w:t>
      </w:r>
    </w:p>
    <w:p>
      <w:r>
        <w:t>Cette argumentation n'est pas décisive. Le seul fait que l'assuré a modifié ses déclarations ne suffit pas à établir qu'il consacrait la majeure partie de son temps à son activité indépendante.</w:t>
      </w:r>
    </w:p>
    <w:p>
      <w:r>
        <w:rPr>
          <w:b/>
        </w:rPr>
        <w:t>E. 6.1</w:t>
      </w:r>
    </w:p>
    <w:p>
      <w:r>
        <w:t>L'office recourant fait ensuite grief aux premiers juges d'avoir admis que l'assuré aurait rapidement mis un terme à son activité indépendante pour prendre un emploi salarié s'il s'était présenté. Pour reprendre ses propres termes, l'office ne « pense » pas que l'assuré avait réellement la possibilité ou la volonté de le faire, malgré ses déclarations.</w:t>
      </w:r>
    </w:p>
    <w:p>
      <w:r>
        <w:rPr>
          <w:b/>
        </w:rPr>
        <w:t>E. 6.2</w:t>
      </w:r>
    </w:p>
    <w:p>
      <w:r>
        <w:t>La question de savoir si un assuré est disposé à abandonner son activité indépendante au profit d'un emploi est une question de fait (cf. BERNARD CORBOZ, in Commentaire de la LTF, Berne 2009, n. 30 ad art. 105 LTF ). L'office recourant ne fait qu'opposer sa propre version des faits sans exposer en quoi la constatation par les premiers juges s'avère manifestement inexacte ou a été établie en violation du droit au sens de l' art. 95 LTF . Par ailleurs, les dépenses consenties (22'743 fr. de septembre 2006 à juillet 2007) par l'assuré ne sont pas considérables sur la durée. Il s'agissait pour l'essentiel de dépenses pour l'achat de matériel opérées au fur et à mesure des recettes perçues. L'assuré a certes loué un local, mais pour un loyer modeste (400 fr. par mois), de sorte que l'on ne saurait y voir un engagement contraignant à long terme. Il n'y a pas eu, à proprement parler, d'investissement initial. En tout état de cause, ces éléments sont impropres à établir l'arbitraire de la constatation cantonale.</w:t>
      </w:r>
    </w:p>
    <w:p>
      <w:r>
        <w:rPr>
          <w:b/>
        </w:rPr>
        <w:t>E. 7</w:t>
      </w:r>
    </w:p>
    <w:p>
      <w:r>
        <w:t>L'office recourant insiste également sur le fait que l'assuré, en déclarant sur tous ses formulaires IPA qu'il n'exerçait pas d'activité indépendante, a empêché l'administration d'examiner son aptitude au placement dès la première heure. Il estime que ces fausses déclarations doivent être interprétées au détriment de sa disponibilité pour le placement.</w:t>
      </w:r>
    </w:p>
    <w:p>
      <w:r>
        <w:t>Le recourant ne saurait être suivi. La circonstance que l'assuré a fait des déclarations inexactes n'est pas vraiment un élément pertinent pour juger de l'aptitude au placement. En revanche, un tel comportement pouvait justifier une suspension du droit de l'assuré à l'indemnité au sens de l' art. 30 al. 1 let . e ou éventuellement let. f LACI, ainsi que l'établissement d'un nouveau calcul de l'indemnité de chômage tenant compte du gain intermédiaire (cf. art. 24 al. 1 et al. 3 LACI ).</w:t>
      </w:r>
    </w:p>
    <w:p>
      <w:r>
        <w:rPr>
          <w:b/>
        </w:rPr>
        <w:t>E. 8</w:t>
      </w:r>
    </w:p>
    <w:p>
      <w:r>
        <w:t>Le recours doit être rejeté. Il n'y a pas lieu de percevoir des frais judiciaires ( art. 66 al. 4 LTF ; ATF 133 V 637 consid. 4.5 p. 639). Par ailleurs, l'intimé, représenté par la DAS, assurance protection juridique,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