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8C_719/2025 vom 18. Dezember 2025</w:t>
      </w:r>
    </w:p>
    <w:p>
      <w:r>
        <w:t>Bundesgericht, 2025-12-18, DE</w:t>
      </w:r>
    </w:p>
    <w:p>
      <w:r>
        <w:rPr>
          <w:b/>
        </w:rPr>
        <w:t xml:space="preserve">Quelle: </w:t>
      </w:r>
      <w:r>
        <w:t>https://mcp.opencaselaw.ch/entscheid/bger_8C_719_2025</w:t>
      </w:r>
    </w:p>
    <w:p>
      <w:r>
        <w:t>FR: TF 8C_719/2025 du 18 décembre 2025</w:t>
      </w:r>
    </w:p>
    <w:p>
      <w:r>
        <w:t>IT: TF 8C_719/2025 del 18 dicembre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1. Oktober 2025 den Einspracheentscheid der Beschwerdegegnerin vom 18. April 2025, mit welchem der Anspruch des Beschwerdeführers auf bundesrechtliche Ergänzungsleistungen und kantonalrechtliche Beihilfe ab 1. Januar 2024 neu festgelegt wurde. Auf die im Beschwerdeverfahren geltend gemachten Schadenersatz- und Genugtuungsansprüche trat die Vorinstanz - weil ausserhalb des durch den Einsprachentscheid vorgegebenen Anfechtungsgegenstands liegend - nicht ein. Sodann verweigerte sie dem Beschwerdeführer - da in der Sache unterliegend - entsprechend dem Ausgang des Verfahrens die Ausrichtung einer Parteientschädigung.</w:t>
      </w:r>
    </w:p>
    <w:p>
      <w:r>
        <w:rPr>
          <w:b/>
        </w:rPr>
        <w:t>E. 3</w:t>
      </w:r>
    </w:p>
    <w:p>
      <w:r>
        <w:t>Der Beschwerdeführer beanstandet letztinstanzlich die fehlende Zusprechung einer "Anwaltabgeltung und Genugtuung".</w:t>
      </w:r>
    </w:p>
    <w:p>
      <w:r>
        <w:rPr>
          <w:b/>
        </w:rPr>
        <w:t>E. 3.1</w:t>
      </w:r>
    </w:p>
    <w:p>
      <w:r>
        <w:t>Inwiefern die vorinstanzlichen Feststellungen dazu (Anfechtungsgegenstand, Ausgang des Verfahrens) offensichtlich unrichtig (vgl. Art. 97 Abs. 1 BGG ) - mithin willkürlich ( BGE 146 IV 88 E. 1.3.1 f.; 140 III 115 E. 2; je mit Hinweisen) - oder sonstwie bundesrechtswidrig sein sollen, legt er nicht dar. Ebenso wenig zeigt er auf, inwieweit die vorinstanzlichen Erwägungen betreffend das Nichteintreten auf die Schadenersatz- und Genugtuungsforderungen bzw. die Nichtausrichtung einer Parteientschädigung gegen Bundesrecht verstossen oder einen anderen Beschwerdegrund (vgl. Art. 95 lit. a-e BGG ) gesetzt haben könnten. Allein den Geschehensverlauf zu schildern, reicht nicht aus.</w:t>
      </w:r>
    </w:p>
    <w:p>
      <w:r>
        <w:rPr>
          <w:b/>
        </w:rPr>
        <w:t>E. 3.2</w:t>
      </w:r>
    </w:p>
    <w:p>
      <w:r>
        <w:t>Soweit der Beschwerdeführer darüber hinaus die vorinstanzlichen Erwägungen zum Anspruchsjahr 2023 kritisiert, wonach mangels Rückkommenstitels das dazu bereits mit Verfügung vom 20. März 2023 Entschiedene stehen bleibe, so gehen auch diese Vorbringen nicht über eine letztinstanzlich unzulässige appellatorische Kritik hinaus (E. 1 in fine hiervor).</w:t>
      </w:r>
    </w:p>
    <w:p>
      <w:r>
        <w:rPr>
          <w:b/>
        </w:rPr>
        <w:t>E. 3.3</w:t>
      </w:r>
    </w:p>
    <w:p>
      <w:r>
        <w:t>Die Beschwerde erweist sich insgesamt als offensichtlich ungenügend begründet. Dies führt zu einem Nichteintreten auf das Rechtsmittel im vereinfachten Verfahren nach Art. 108 Abs. 1 lit. b BGG .</w:t>
      </w:r>
    </w:p>
    <w:p>
      <w:r>
        <w:rPr>
          <w:b/>
        </w:rPr>
        <w:t>E. 4</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