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719/2014 vom 27. Februar 2015</w:t>
      </w:r>
    </w:p>
    <w:p>
      <w:r>
        <w:t>Bundesgericht, 2015-02-27, DE</w:t>
      </w:r>
    </w:p>
    <w:p>
      <w:r>
        <w:rPr>
          <w:b/>
        </w:rPr>
        <w:t xml:space="preserve">Quelle: </w:t>
      </w:r>
      <w:r>
        <w:t>https://mcp.opencaselaw.ch/entscheid/bger_8C_719_2014</w:t>
      </w:r>
    </w:p>
    <w:p>
      <w:r>
        <w:t>FR: TF 8C 719/2014 du 27 février 2015</w:t>
      </w:r>
    </w:p>
    <w:p>
      <w:r>
        <w:t>IT: TF 8C 719/2014 del 27 febbraio 2015</w:t>
      </w:r>
    </w:p>
    <w:p>
      <w:pPr>
        <w:pStyle w:val="Heading2"/>
      </w:pPr>
      <w:r>
        <w:t>Regeste</w:t>
      </w:r>
    </w:p>
    <w:p>
      <w:r>
        <w:t>Unfallversicherung | Unfallversicherung</w:t>
      </w:r>
    </w:p>
    <w:p>
      <w:pPr>
        <w:pStyle w:val="Heading2"/>
      </w:pPr>
      <w:r>
        <w:t>Erwägungen</w:t>
      </w:r>
    </w:p>
    <w:p>
      <w:r>
        <w:rPr>
          <w:b/>
        </w:rPr>
        <w:t>E. 1</w:t>
      </w:r>
    </w:p>
    <w:p>
      <w:r>
        <w:t>Streitig und zu prüfen ist einzig die Verpflichtung der SUVA zur Bezahlung von Gutachterkosten in der Höhe von Fr. 2171.50 sowie einer Parteientschädigung in der Höhe von Fr. 2205.-. Soweit der Versicherte in seiner Eingabe vom 8. Dezember 2014 geltend macht, nach seiner Ansicht sei der natürliche Kausalzusammenhang gegeben, ist darauf nicht weiter einzugehen, da er dazu den anderslautenden vorinstanzlichen Entscheid seinerseits hätte anfechten müssen.</w:t>
      </w:r>
    </w:p>
    <w:p>
      <w:r>
        <w:rPr>
          <w:b/>
        </w:rPr>
        <w:t>E. 2.1</w:t>
      </w:r>
    </w:p>
    <w:p>
      <w:r>
        <w:t>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 BGE 135 V 465 E. 4.4 S. 469; siehe auch BGE 139 V 225 E. 4 S. 226 und Urteil 8C_71/2013 vom 27. Juni 2013 E. 2) oder wenn die Verwaltung zur Klärung der medizinischen Situation notwendige Aspekte unbeantwortet gelassen oder auf eine Expertise abgestellt habe, welche die Anforderungen an eine medizinische Beurteilungsgrundlage nicht erfülle ( BGE 125 V 351 E. 3a S. 352).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Diese Kriterien sind auch im Bereich der Unfallversicherung anzuwenden ( BGE 140 V 70 E. 6 S. 75; 139 V 225 ).</w:t>
      </w:r>
    </w:p>
    <w:p>
      <w:r>
        <w:rPr>
          <w:b/>
        </w:rPr>
        <w:t>E. 2.2</w:t>
      </w:r>
    </w:p>
    <w:p>
      <w:r>
        <w:t>Vorliegend hat die SUVA weder eine wesentliche Frage nicht abgeklärt noch auf eine Beurteilung gestützt, welche den Erfordernissen der Rechtsprechung an einen ärztlichen Bericht nicht genügen würde. Auch steht der Einschätzung des Kreisarztes nicht eine anderslautende Beurteilung verschiedener Ärzte entgegen. Vielmehr äussert nur der behandelnde Arzt eine abweichende Auffassung, welche jedoch vom Kreisarzt nachvollziehbar widerlegt wurde. Insofern wäre es für die Vorinstanz möglich gewesen, bereits gestützt auf die begründete Einschätzung des Kreisarztes mit objektiven Argumenten die Sache zu beurteilen. Damit kann der SUVA keine Verletzung des Untersuchungsgrundsatzes vorgeworfen werden und es liegt auch kein Fall der Überwälzung der Kosten einer gerichtlichen Begutachtung gestützt auf die im Nachgang zu BGE 137 V 210 ergangene Rechtsprechung vor. Denn die Begründung, das Gerichtsgutachten sei für die Fallbeurteilung notwendig gewesen, ist für die Überwälzung von Gutachtenskosten allein nicht hinreichend ( BGE 140 V 70 E. 6.2.2 S. 76). Daran ändert auch die Argumentation der Vorinstanz nichts, sie hätte auch einen Rückweisungsentscheid zur weiteren Abklärung fällen können. Denn nach der Rechtsprechung war die Vorinstanz gehalten, selbst eine Abklärung anzuordnen, da es weder um eine bisher vollständig ungeklärte Frage noch lediglich um eine Klarstellung oder Ergänzung der gutachtlichen Ausführung ging, sondern das kantonale Gericht den im Verwaltungsverfahren mittels verwaltungsinterner Expertise erhobenen Sachverhalt für gutachtlich abklärungsbedürftig erachtete (vgl. dazu BGE 137 V 210 E. 4.4.1.4 S. 264). Demnach ist Dispositiv-Ziffer 3 des vorinstanzlichen Entscheids aufzuheben.</w:t>
      </w:r>
    </w:p>
    <w:p>
      <w:r>
        <w:rPr>
          <w:b/>
        </w:rPr>
        <w:t>E. 3.1</w:t>
      </w:r>
    </w:p>
    <w:p>
      <w:r>
        <w:t>Nach Art. 61 lit. g ATSG hat die obsiegende Beschwerde führende Partei Anspruch auf Ersatz der Parteikosten, wobei diese vom Versicherungsgericht festgesetzt und ohne Rücksicht auf den Streitwert nach der Bedeutung der Streitsache und nach der Schwierigkeit des Prozesses bemessen wird. Nach der Rechtsprechung gilt es unter dem Gesichtspunkt des Anspruchs auf eine Parteientschädigung im Streit um eine Sozialversicherungsleistung bereits als Obsiegen, wenn die Rechtsstellung der versicherten Person durch den Entscheid im Vergleich zu derjenigen nach Abschluss des Administrativverfahrens verbessert wird. Massgebend sind dabei die im Beschwerdeverfahren gestellten Anträge ( BGE 137 V 57 E. 2.1 S. 61; 132 V 215 E. 6.2 S. 235; UELI KIESER, ATSG-Kommentar, 2. Aufl. 2009, N. 117 zu Art. 61 ATSG ; vgl. auch Urteil 8C_212/2012 vom 10. Oktober 2012 E. 3.1).</w:t>
      </w:r>
    </w:p>
    <w:p>
      <w:r>
        <w:rPr>
          <w:b/>
        </w:rPr>
        <w:t>E. 3.2</w:t>
      </w:r>
    </w:p>
    <w:p>
      <w:r>
        <w:t>Nachdem der Versicherte mit keinem seiner Anträge durchgedrungen ist und sich seine Rechtsstellung nach dem vorinstanzlichen Entscheid gegenüber jener nach Abschluss des Administrativverfahrens in keiner Hinsicht verbessert hat, hat er keinen Anspruch auf eine Parteientschädigung nach Art. 61 lit. g ATSG . Die Vorinstanz hat demnach die SUVA zu Unrecht zu einer Parteientschädigung verpflichtet. Dispositiv-Ziffer 4 des kantonalen Entscheids ist somit aufzuheben.</w:t>
      </w:r>
    </w:p>
    <w:p>
      <w:r>
        <w:rPr>
          <w:b/>
        </w:rPr>
        <w:t>E. 4</w:t>
      </w:r>
    </w:p>
    <w:p>
      <w:r>
        <w:t>Das Verfahren ist kostenpflichtig. Auf Grund der besonderen Umstände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