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8C_719/2008 vom 1. April 2009</w:t>
      </w:r>
    </w:p>
    <w:p>
      <w:r>
        <w:t>Bundesgericht, 2009-04-01, FR</w:t>
      </w:r>
    </w:p>
    <w:p>
      <w:r>
        <w:rPr>
          <w:b/>
        </w:rPr>
        <w:t xml:space="preserve">Quelle: </w:t>
      </w:r>
      <w:r>
        <w:t>https://mcp.opencaselaw.ch/entscheid/bger_8C_719_2008</w:t>
      </w:r>
    </w:p>
    <w:p>
      <w:r>
        <w:t>FR: TF 8C_719/2008 du 1 avril 2009</w:t>
      </w:r>
    </w:p>
    <w:p>
      <w:r>
        <w:t>IT: TF 8C_719/2008 del 1 aprile 2009</w:t>
      </w:r>
    </w:p>
    <w:p>
      <w:pPr>
        <w:pStyle w:val="Heading2"/>
      </w:pPr>
      <w:r>
        <w:t>Erwägungen</w:t>
      </w:r>
    </w:p>
    <w:p>
      <w:r>
        <w:rPr>
          <w:b/>
        </w:rPr>
        <w:t>E. 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133 V 515 consid. 1.3 p. 519; 130 III 136 consid. 1.4 p. 140).</w:t>
      </w:r>
    </w:p>
    <w:p>
      <w:r>
        <w:t>En outre,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litige porte sur le point de savoir si la caisse intimée était fondée, par sa décision sur opposition du 15 novembre 2006, à réclamer au recourant le montant de 45'440 fr. 90, représentant la somme des indemnités de chômage indûment perçues durant la période du 7 mai 2004 au 31 mars 2005.</w:t>
      </w:r>
    </w:p>
    <w:p>
      <w:r>
        <w:rPr>
          <w:b/>
        </w:rPr>
        <w:t>E. 3.1</w:t>
      </w:r>
    </w:p>
    <w:p>
      <w:r>
        <w:t>Selon l' art. 25 LPGA , auquel renvoie l' art. 95 al. 1 LACI , les prestations indûment touchées doivent être restituées (al. 1, première phrase). Selon la jurisprudence, les principes régissant la restitution de prestations indûment perçues, applicables avant l'entrée en vigueur de la LPGA, le 1er janvier 2003, sont également applicables sous l'empire de cette loi ( ATF 130 V 318 consid. 5.2 p. 319 et la référence).</w:t>
      </w:r>
    </w:p>
    <w:p>
      <w:r>
        <w:t>D'après la jurisprudence rendue à propos de l' art. 47 al. 1 LAVS (en vigueur jusqu'au 31 décembre 2002), dont le Tribunal fédéral des assurances a jugé qu'elle s'appliquait par analogie à la restitution d'indemnités indûment perçues dans l'assurance-chômage (cf. ATF 122 V 367 consid. 3 p. 368; 110 V 176 consid. 2a p. 179, et les références), une prestation accordée sur la base d'une décision formellement passée en force et sur laquelle une autorité judiciaire ne s'est pas prononcée sous l'angle matériel ne peut être répétée que lorsque les conditions qui président à la révocation, par son auteur, d'une décision administrative, sont réalisées.</w:t>
      </w:r>
    </w:p>
    <w:p>
      <w:r>
        <w:t>Selon l' art. 53 al. 2 LPGA , l'assureur peut revenir sur les décisions ou les décisions sur opposition formellement passées en force lorsqu'elles sont manifestement erronées et que leur rectification revêt une importance notable. Cela vaut aussi pour les prestations qui ont été accordées sans avoir fait l'objet d'une décision formelle (décision implicite prise dans le cadre d'une procédure simplifiée au sens de l' art. 51 al. 1 LPGA ; cf. ATF 132 V 412 consid. 5 p. 417).</w:t>
      </w:r>
    </w:p>
    <w:p>
      <w:r>
        <w:rPr>
          <w:b/>
        </w:rPr>
        <w:t>E. 3.2</w:t>
      </w:r>
    </w:p>
    <w:p>
      <w:r>
        <w:t>Dans son jugement du 1er mai 2006, entré en force, la juridiction cantonale a nié le droit de l'assuré à des indemnités de chômage, motif pris que, dans la mesure où la société X.________ SA avait son siège à l'adresse personnelle de l'assuré et celui-ci avait effectué divers mandats pour le compte de cette société, l'intéressé avait conservé le pouvoir d'influencer considérablement les décisions de l'employeur (application analogique de l' art. 31 al. 3 let . c LACI; cf. ATF 123 V 234 ). Dans son jugement entrepris du 10 juillet 2008, le tribunal cantonal s'est fondé sur le prononcé précité pour confirmer la décision de restitution des indemnités de chômage perçues durant la période du 7 mai 2004 au 31 mars 2005.</w:t>
      </w:r>
    </w:p>
    <w:p>
      <w:r>
        <w:t>De son côté, le recourant admet avoir conservé le pouvoir d'influencer considérablement les décisions de l'employeur après le 7 mai 2004. Cependant, il soutient que l'octroi des indemnités de chômage ne reposait pas sur une erreur manifeste, du moment que l' art. 31 al. 3 let . c LACI concerne l'indemnité en cas de réduction de l'horaire de travail et n'est applicable à l'indemnité de chômage que par analogie.</w:t>
      </w:r>
    </w:p>
    <w:p>
      <w:r>
        <w:rPr>
          <w:b/>
        </w:rPr>
        <w:t>E. 3.3</w:t>
      </w:r>
    </w:p>
    <w:p>
      <w:r>
        <w:t>Le point de vue du recourant est mal fondé.</w:t>
      </w:r>
    </w:p>
    <w:p>
      <w:r>
        <w:t>Selon la jurisprudence constante, les personnes qui n'ont pas droit à l'indemnité en cas de réduction de l'horaire de travail parce qu'elles fixent les décisions que prend l'employeur, ou peuvent les influencer considérablement ( art. 31 al. 3 let . c LACI), n'ont pas droit non plus à l'indemnité de chômage ( ATF 123 V 234 ; DTA 2008 p. 148, 8C_245/2007 consid. 2; DTA 2008 p. 312, C 13/07 consid. 2).</w:t>
      </w:r>
    </w:p>
    <w:p>
      <w:r>
        <w:t>En l'espèce, il ressort d'un extrait du Registre du commerce du canton de Vaud et du procès-verbal de l'assemblée générale extraordinaire du 7 mai 2004 que le siège de la société X.________ SA a été transféré de Y.________ à Z.________. Par ailleurs, différents documents recueillis par la caisse CVCI le 10 mai 2004 indiquent que l'assuré avait son domicile à l'adresse susmentionnée. Dans ces conditions, et compte tenu du fait qu'il a continué d'effectuer des mandats pour le compte de la société, il apparaît que l'intéressé a conservé le pouvoir d'influencer considérablement les décisions de l'employeur après le 7 mai 2004. Aussi, la caisse a-t-elle commis une erreur manifeste en lui allouant une indemnité de chômage après cette date. Par ailleurs, il est incontestable que la rectification des décisions matérielles d'octroi des prestations indues revêt une importance notable au sens de l' art. 53 al. 2 LPGA .</w:t>
      </w:r>
    </w:p>
    <w:p>
      <w:r>
        <w:t>Quant aux autres griefs soulevés par le recourant, ils ne font pas obstacle à la demande de restitution des prestations indûment perçues. En particulier, l'argument tiré de la bonne foi devra être examiné par la caisse dans le cadre de la procédure relative à la demande de remise encore pendante.</w:t>
      </w:r>
    </w:p>
    <w:p>
      <w:r>
        <w:rPr>
          <w:b/>
        </w:rPr>
        <w:t>E. 4</w:t>
      </w:r>
    </w:p>
    <w:p>
      <w:r>
        <w:t>Le recourant fait valoir que la créance de l'intimée en restitution des indemnités allouées à tort était éteinte au moment du prononcé de la décision de restitution du 27 mai 2005.</w:t>
      </w:r>
    </w:p>
    <w:p>
      <w:r>
        <w:rPr>
          <w:b/>
        </w:rPr>
        <w:t>E. 4.1</w:t>
      </w:r>
    </w:p>
    <w:p>
      <w:r>
        <w:t>Sauf exception - non réalisée en l'espèce - la demande de restitution de prestations de l'assurance-chômage est régie par l' art. 25 LPGA ( art. 95 al. 1 LACI ). Selon cette disposition de la LPGA, le droit de demander la restitution s'éteint un an après le moment où l'institution d'assurance a eu connaissance du fait, mais au plus tard cinq ans après le versement de la prestation.</w:t>
      </w:r>
    </w:p>
    <w:p>
      <w:r>
        <w:t>Selon la jurisprudence, le délai de péremption d'une année commence à courir dès le moment où la caisse aurait dû se rendre compte de son erreur en faisant preuve de l'attention requise.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 ATF 124 V 380 consid. 1 p. 382 s.).</w:t>
      </w:r>
    </w:p>
    <w:p>
      <w:r>
        <w:rPr>
          <w:b/>
        </w:rPr>
        <w:t>E. 4.2</w:t>
      </w:r>
    </w:p>
    <w:p>
      <w:r>
        <w:t>Le recourant est d'avis que la caisse de chômage a eu connaissance des faits justifiant sa demande de restitution le 18 mai 2004, moment auquel le transfert du siège social de la société à Z.________, a été publié à la Feuille officielle suisse du commerce.</w:t>
      </w:r>
    </w:p>
    <w:p>
      <w:r>
        <w:t>Ce point de vue est mal fondé. L'erreur qui est à l'origine du versement des prestations consiste précisément en ce qu'il a échappé à la caisse que le nouveau siège de la société et le domicile de l'assuré étaient situés à la même adresse. L'intimée ne pouvait donc connaître l'existence des fonctions dirigeantes encore exercées par l'intéressé au sein de la société que le 3 novembre 2004, date à laquelle celui-ci a annoncé pour la première fois le gain intermédiaire réalisé au service de X.________ SA.</w:t>
      </w:r>
    </w:p>
    <w:p>
      <w:r>
        <w:t>Cela étant, la juridiction cantonale a considéré à juste titre que le délai de péremption d'une année prévu à l' art. 25 al. 1 LPGA n'était pas échu le 27 mai 2005, date à laquelle la caisse a rendu la décision en restitution des prestations indûment perçues durant la période du 7 mai 2004 au 31 mars 2005.</w:t>
      </w:r>
    </w:p>
    <w:p>
      <w:r>
        <w:rPr>
          <w:b/>
        </w:rPr>
        <w:t>E. 5</w:t>
      </w:r>
    </w:p>
    <w:p>
      <w:r>
        <w:t>Vu ce qui précède, le jugement attaqué n'est pas critiquable et le recours se révèle mal fondé.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