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8C_718/2023 vom 16. November 2023</w:t>
      </w:r>
    </w:p>
    <w:p>
      <w:r>
        <w:t>Bundesgericht, 2023-11-16, DE</w:t>
      </w:r>
    </w:p>
    <w:p>
      <w:r>
        <w:rPr>
          <w:b/>
        </w:rPr>
        <w:t xml:space="preserve">Quelle: </w:t>
      </w:r>
      <w:r>
        <w:t>https://mcp.opencaselaw.ch/entscheid/bger_8C_718_2023</w:t>
      </w:r>
    </w:p>
    <w:p>
      <w:r>
        <w:t>FR: TF 8C_718/2023 du 16 novembre 2023</w:t>
      </w:r>
    </w:p>
    <w:p>
      <w:r>
        <w:t>IT: TF 8C_718/2023 del 16 novembre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im angefochtenen Urteil vom 7. September 2023 den Einspracheentscheid der Beschwerdegegnerin vom 8. März 2023, worin die Beschwerdeführerin verpflichtet wurde, unrechtmässig bezogene Ergänzungsleistungen von insgesamt Fr. 6'084.- zurückzuerstatten. Dies tat es im Wesentlichen mit der Begründung, die Beschwerdeführerin habe die Beschwerdegegnerin in pflichtwidriger Weise nicht umgehend über eine Erhöhung der Invalidenrente in Kenntnis gesetzt. Daher seien weiterhin Ergänzungsleistungen in genannter Höhe ausgerichtet worden, obwohl darauf gar kein Anspruch mehr bestanden habe; damit erweise sich die Rückerstattungsforderung als rechtmässig. Zudem wies die Vorinstanz die Beschwerdegegnerin an, über das Gesuch um Erlass der Rückerstattungsschuld einspracheweise zu befinden.</w:t>
      </w:r>
    </w:p>
    <w:p>
      <w:r>
        <w:rPr>
          <w:b/>
        </w:rPr>
        <w:t>E. 3</w:t>
      </w:r>
    </w:p>
    <w:p>
      <w:r>
        <w:t>Darauf geht die Beschwerdeführerin nicht hinreichend ein. Allein geltend zu machen, sich keiner Schuld bewusst zu sein, und ausserdem auf die allgemeinen Abklärungspflichten der Beschwerdegegnerin bei der Sachverhaltsermittlung zu verweisen, reicht nicht aus. Gleiches gilt für die Behauptung, die Vorinstanz habe parteiisch gehandelt, den nicht weiter bestimmten Hinweis auf ein Merkblatt und die blosse Erwähnung des Gehöranspruchs.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