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8C_717/2025 vom 19. Januar 2026</w:t>
      </w:r>
    </w:p>
    <w:p>
      <w:r>
        <w:t>Bundesgericht, 2026-01-19, DE</w:t>
      </w:r>
    </w:p>
    <w:p>
      <w:r>
        <w:rPr>
          <w:b/>
        </w:rPr>
        <w:t xml:space="preserve">Quelle: </w:t>
      </w:r>
      <w:r>
        <w:t>https://mcp.opencaselaw.ch/entscheid/bger_8C_717_2025</w:t>
      </w:r>
    </w:p>
    <w:p>
      <w:r>
        <w:t>FR: TF 8C_717/2025 du 19 janvier 2026</w:t>
      </w:r>
    </w:p>
    <w:p>
      <w:r>
        <w:t>IT: TF 8C_717/2025 del 19 gennaio 2026</w:t>
      </w:r>
    </w:p>
    <w:p>
      <w:pPr>
        <w:pStyle w:val="Heading2"/>
      </w:pPr>
      <w:r>
        <w:t>Erwägungen</w:t>
      </w:r>
    </w:p>
    <w:p>
      <w:r>
        <w:rPr>
          <w:b/>
        </w:rPr>
        <w:t>E. 1</w:t>
      </w:r>
    </w:p>
    <w:p>
      <w:r>
        <w:t>Nach Art. 95 BGG kann mit der Beschwerde nebst anderem die Verletzung von Bundesrecht gerügt werden (lit. a), die Feststellung des Sachverhalts demgegenüber nur, wenn sie offensichtlich unrichtig ist oder auf einer Rechtsverletzung im Sinne von Art. 95 BGG beruht und wenn die Behebung des Mangels für den Ausgang des Verfahrens entscheidend sein kann ( Art. 97 Abs. 1 BGG ). Gemäss Art. 42 Abs. 1 und 2 BGG hat die Beschwerde unter anderem die Begehren und deren Begründung zu enthalten, wobei in gedrängter Form darzulegen ist, inwiefern der angefochtene Akt Recht verletzt. Dabei ist konkret auf die für das Ergebnis des angefochtenen Urteils massgeblichen Erwägungen einzugehen und im Einzelnen zu zeigen, welche Vorschriften von der Vorinstanz weshalb verletzt worden sind ( BGE 134 V 53 E. 3.3 und 133 IV 286 E. 1.4). Die blosse Wiedergabe der eigenen Sichtweise oder einfach zu behaupten, der angefochtene Gerichtsentscheid sei falsch, genügt nicht (vgl. zur unzulässigen appellatorischen Kritik: BGE 148 IV 205 E. 2.6; 144 V 50 E. 4.2; 137 V 57 E. 1.3 und 136 I 65 E. 1.3.1).</w:t>
      </w:r>
    </w:p>
    <w:p>
      <w:r>
        <w:rPr>
          <w:b/>
        </w:rPr>
        <w:t>E. 2</w:t>
      </w:r>
    </w:p>
    <w:p>
      <w:r>
        <w:t>Das kantonale Gericht legte im Entscheid vom 13. November 2025 dar, weshalb es auf die gegen den Einspracheentscheid der Beschwerdegegnerin vom 26. September 2025 erhobene Beschwerde nicht eintrat (verspätete Beschwerdeerhebung).</w:t>
      </w:r>
    </w:p>
    <w:p>
      <w:r>
        <w:rPr>
          <w:b/>
        </w:rPr>
        <w:t>E. 3</w:t>
      </w:r>
    </w:p>
    <w:p>
      <w:r>
        <w:t>Der Beschwerdeführer zeigt nicht auf, inwieweit die von der Vorinstanz getroffenen Sachverhaltsfeststellungen offensichtlich unrichtig (vgl. Art. 97 Abs. 1 BGG ) - mithin willkürlich ( BGE 146 IV 88 E. 1.3.1 f.; 140 III 115 E. 2; je mit Hinweisen) - oder sonstwie bundesrechtswidrig sein sollen. Ebenso wenig führt er aus, weshalb die darauf beruhenden Erwägungen gegen Bundesrecht verstossen oder einen anderen Beschwerdegrund (vgl. Art. 95 lit. a-e BGG ) gesetzt haben könnten. Lediglich zu behaupten, fristgerecht Beschwerde erhoben zu haben und darüber hinaus um "die Zuweisung eines kompetenten und erfahrenen Anwalts" zu ersuchen, reicht nicht aus. Letzteres entbindet nicht von der Pflicht, innert der nicht erstreckbaren Rechtsmittelfrist eine den eingangs aufgezeigten Mindestanforderungen genügende Beschwerde einzureichen (statt vieler Urteil 8C_674/2025 vom 9. Dezember 2025 E. 3 mit Hinweis unter anderem auf Urteil 8C_735/2023 vom 20. November 2023 E. 3). Darauf wurde der Beschwerdeführer vom Bundesgericht am 10. Dezember 2025 ausdrücklich hingewiesen.</w:t>
      </w:r>
    </w:p>
    <w:p>
      <w:r>
        <w:rPr>
          <w:b/>
        </w:rPr>
        <w:t>E. 4</w:t>
      </w:r>
    </w:p>
    <w:p>
      <w:r>
        <w:t>Da dieser Begründungsmangel offensichtlich ist, führt dies zu einem Nichteintreten auf das Rechtsmittel im vereinfachten Verfahren nach Art. 108 Abs. 1 lit. b BGG .</w:t>
      </w:r>
    </w:p>
    <w:p>
      <w:r>
        <w:rPr>
          <w:b/>
        </w:rPr>
        <w:t>E. 5</w:t>
      </w:r>
    </w:p>
    <w:p>
      <w:r>
        <w:t>In Anwendung von Art. 66 Abs. 1 Satz 2 BGG kann ausnahmsweise auf die Erhebung von Gerichtskosten verzichtet werden.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