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8C_716/2021 vom 12. Oktober 2022</w:t>
      </w:r>
    </w:p>
    <w:p>
      <w:r>
        <w:t>Bundesgericht, 2022-10-12, FR</w:t>
      </w:r>
    </w:p>
    <w:p>
      <w:r>
        <w:rPr>
          <w:b/>
        </w:rPr>
        <w:t xml:space="preserve">Quelle: </w:t>
      </w:r>
      <w:r>
        <w:t>https://mcp.opencaselaw.ch/entscheid/bger_8C_716_2021</w:t>
      </w:r>
    </w:p>
    <w:p>
      <w:r>
        <w:t>FR: TF 8C_716/2021 du 12 octobre 2022</w:t>
      </w:r>
    </w:p>
    <w:p>
      <w:r>
        <w:t>IT: TF 8C_716/2021 del 12 ottobre 2022</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d'office le droit fédéral ( art. 106 al. 1 LTF ), sous réserve des exigences de motivation figurant à l' art. 106 al. 2 LTF . A moins que la décision attaquée contienne des vices juridiques manifestes, il s'en tient aux arguments juridiques soulevés dans le recours (cf. art. 42 al. 1 et 2 LTF ; ATF 135 II 384 consid. 2.2.1; 134 III 102 consid. 1.1). Toutefois, le Tribunal fédéral n'est pas lié par les motifs de l'autorité précédente ni par les moyens des parties; il peut donc admettre le recours pour d'autres motifs que ceux invoqués par le recourant, comme il peut le rejeter en opérant une substitution de motifs ( ATF 135 III 397 consid. 1.4). Il n'est pas tenu de revoir les questions de droit qui ne sont plus soulevées devant lui ( ATF 140 V 136 consid. 1.1).</w:t>
      </w:r>
    </w:p>
    <w:p>
      <w:r>
        <w:rPr>
          <w:b/>
        </w:rPr>
        <w:t>E. 3.1</w:t>
      </w:r>
    </w:p>
    <w:p>
      <w:r>
        <w:t>Le litige porte sur la question de savoir si la cour cantonale a violé le droit fédéral en reconnaissant à l'intimé le droit à une rente fondée sur un taux d'invalidité de 14 %. Est uniquement litigieux le revenu avec invalidité devant être pris en compte pour la comparaison des revenus, plus particulièrement l'abattement de 10 % opéré sur le salaire statistique par la cour cantonale pour tenir compte des limitations fonctionnelles et de l'âge avancé de l'intimé.</w:t>
      </w:r>
    </w:p>
    <w:p>
      <w:r>
        <w:rPr>
          <w:b/>
        </w:rPr>
        <w:t>E. 3.2</w:t>
      </w:r>
    </w:p>
    <w:p>
      <w:r>
        <w:t>Lorsque la décision qui fait l'objet d'un recours concerne l'octroi ou le refus de prestations en espèces de l'assurance-accidents, le Tribunal fédéral n'est pas lié par les faits établis par l'autorité précédente (art. 97 al. 2 et 105 al. 3 LTF).</w:t>
      </w:r>
    </w:p>
    <w:p>
      <w:r>
        <w:rPr>
          <w:b/>
        </w:rPr>
        <w:t>E. 4.1</w:t>
      </w:r>
    </w:p>
    <w:p>
      <w:r>
        <w:t>Pour déterminer le revenu d'invalide, les premiers juges se sont référés aux données statistiques de l'enquête suisse sur la structure des salaires (ESS) 2018 en prenant pour base le salaire versé à un homme dans le secteur privé avec un niveau de compétence 2, correspondant à des tâches pratiques telles que la vente, les soins, le traitement de données et les tâches administratives, l'utilisation de machines et d'appareils électroniques, les services de sécurité et la conduite de véhicules. Ils ont constaté que l'intimé était âgé de 64 ans et huit mois au moment où la recourante avait cessé de verser les indemnités journalières et qu'il lui restait donc quatre mois avant d'arriver à l'âge de la retraite AVS. Un engagement limité à une période aussi courte paraissait peu compatible avec les activités du niveau de compétence 2, auquel l'intimé avait été rattaché, qui impliquaient que l'employeur octroie une certaine formation à l'intimé. Par ailleurs, on ne voyait pas quels éléments personnels ou professionnels seraient de nature à compenser le critère de l'âge combiné avec les limitations fonctionnelles que présentait l'intimé. En tenant compte de ces deux facteurs, il y avait lieu d'appliquer un abattement de 10 %, qui, au vu de l'ensemble des circonstances, était une appréciation plus appropriée que celle retenue par la recourante. Il en résultait un revenu d'invalide de 64'751 fr., et la comparaison avec le salaire sans invalidité (repris de la décision sur opposition) de 75'000 fr. menait à un taux d'invalidité arrondi de 14 %, ouvrant le droit à une rente d'invalidité.</w:t>
      </w:r>
    </w:p>
    <w:p>
      <w:r>
        <w:rPr>
          <w:b/>
        </w:rPr>
        <w:t>E. 4.2</w:t>
      </w:r>
    </w:p>
    <w:p>
      <w:r>
        <w:t>La recourante soutient pour l'essentiel que ni les limitations fonctionnelles ni l'âge de l'intimé ne justifieraient un abattement en l'espèce. Les premiers juges auraient échoué à établir les circonstances de nature à faire apparaître leur propre appréciation comme la mieux appropriée et auraient violé le droit fédéral en substituant leur propre appréciation à celle de l'administration sans motif pertinent.</w:t>
      </w:r>
    </w:p>
    <w:p>
      <w:r>
        <w:rPr>
          <w:b/>
        </w:rPr>
        <w:t>E. 5.1</w:t>
      </w:r>
    </w:p>
    <w:p>
      <w:r>
        <w:t>Selon l' art. 6 al. 1 LAA , les prestations d'assurance sont allouées en cas d'accident professionnel, d'accident non professionnel et de maladie professionnelle. Si l'assuré est invalide ( art. 8 LPGA )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5.2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5.3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précité consid. 5b/bb; arrêts 8C_175/2020 du 22 septembre 2020 consid. 3.3; 8C_766/2017 du 30 juillet 2018 consid. 8.3.1, in: SVR 2019 UV n° 5 p. 18).</w:t>
      </w:r>
    </w:p>
    <w:p>
      <w:r>
        <w:rPr>
          <w:b/>
        </w:rPr>
        <w:t>E. 5.4</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5.5</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 ATF 137 V 71 précité consid. 5.2 et l'arrêt cité).</w:t>
      </w:r>
    </w:p>
    <w:p>
      <w:r>
        <w:rPr>
          <w:b/>
        </w:rPr>
        <w:t>E. 6</w:t>
      </w:r>
    </w:p>
    <w:p>
      <w:r>
        <w:t>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(cf. arrêts 8C_659/2021 du 17 février 2022 consid. 4.3.1; 8C_118/2021 du 21 décembre 2021 consid. 6.3.1). En l'espèce, force est de constater - avec la recourante - que l'intimé n'est pas restreint, par ses limitations fonctionnelles, aux activités légères ni même moyennes; il peut travailler tant en position assise que debout, se déplacer librement et ne souffre d'aucune restriction au niveau des membres supérieurs. Les activités pratiques ressortant du niveau de compétence 2, qui restent exigibles de sa part, sont ainsi compatibles avec son état de santé. Au demeurant, la juridiction cantonale ne démontre pas que l'intimé ne pourrait mettre en valeur sa capacité résiduelle de travail sur le marché équilibré de travail qu'avec un résultat inférieur à la moyenne. Or, dès lors que le type d'activités adaptées entrant en ligne de compte respecte les restrictions physiques de l'intimé, une déduction sur le salaire statistique ne se justifie pas pour tenir compte des circonstances liées à son handicap.</w:t>
      </w:r>
    </w:p>
    <w:p>
      <w:r>
        <w:rPr>
          <w:b/>
        </w:rPr>
        <w:t>E. 7.1</w:t>
      </w:r>
    </w:p>
    <w:p>
      <w:r>
        <w:t>La cour cantonale ayant motivé l'abattement non seulement par les limitations fonctionnelles, mais également par l'âge avancé de l'intimé, il convient d'examiner si l' art. 28 al. 4 OLAA est applicable et quel serait le rapport de cette disposition avec un abattement à cause de l'âge. Les juges cantonaux ont certes évoqué cette disposition, mais ne se sont pas prononcés sur son application et n'ont pas spécifié les conclusions éventuelles devant en être tirées.</w:t>
      </w:r>
    </w:p>
    <w:p>
      <w:r>
        <w:rPr>
          <w:b/>
        </w:rPr>
        <w:t>E. 7.2</w:t>
      </w:r>
    </w:p>
    <w:p>
      <w:r>
        <w:t>Sur la base de la délégation législative de l' art. 18 al. 2 LAA , le Conseil fédéral a édicté l' art. 28 OLAA , qui contient des prescriptions particulières pour l'évaluation de l'invalidité dans des cas spéciaux. L' art. 28 al. 4 OLAA dispose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d'un assuré d'âge moyen dont la santé a subi une atteinte de même gravité pourrait réaliser.</w:t>
      </w:r>
    </w:p>
    <w:p>
      <w:r>
        <w:t>Cette disposition vise deux situations: celle où l'assuré, en raison de son âge, ne reprend plus d'activité lucrative après l'accident (variante I) et celle où l'atteinte à la capacité de gain a principalement pour origine l'âge avancé de l'assuré (variante II). L'assuré qui remplit l'un ou l'autre cas de figure ne touchera alors une rente d'invalidité que dans la mesure où une telle rente serait octroyée dans les mêmes conditions à un assuré d'âge moyen présentant les mêmes capacités professionnelles et les mêmes aptitudes personnelles.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 ATF 122 V 418 consid. 3a; arrêt 8C_307/2017 du 26 septembre 2017 consid. 4.1; voir également PETER OMLIN, Die Invalidität in der obligatorischen Unfallversicherung, 1995, p. 235 ss.; ANDRÉ GHÉLEW/OLIVIER RAMELET/JEAN-BABTISTE RITTER, Commentaire de la loi sur l'assurance-accidents [LAA], 1992, p. 103).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(arrêts 8C_307/2017 du 26 septembre 2017 consid. 4.2.2; 8C_346/2013 du 10 septembre 2013 consid. 4.2; 8C_806/2012 du 12 février 2013 consid. 5.2.2; MARC HÜRZELER/CLAUDIA CADERAS, in: Marc Hürzeler/Ueli Kieser [éd.], Kommentar zum schweizerischen Sozialversicherungsrecht, UVG, 2018, N. 42 ad art. 18 LAA ). Il s'agit d'empêcher l'octroi de rentes d'invalidité qui comporteraient, en fait, une composante de prestation de vieillesse (cf. OMLIN, op. cit., p. 249 avec les références). On rappellera que les rentes ont un caractère viager (cf. toutefois le nouvel art. 20 al. 2ter LAA , en vigueur depuis le 1er janvier 2017; cf. consid. 8.4 infra). L'âge moyen est de 42 ans ou, du moins, se situe entre 40 et 45 ans, tandis que l'âge avancé est d'environ 60 ans; il ne s'agit toutefois que d'un ordre de grandeur et non d'une limite absolue ( ATF 122 V 418 consid. 1b; arrêts 8C_205/2016 du 20 juin 2016 consid. 3.4; U 106/89 du 13 août 1990 consid. 4d et e, in: RAMA 1990 n° U 115 p. 389). La comparaison des revenus d'un assuré d'âge moyen comprend aussi bien le revenu sans invalidité que le revenu d'invalide ( ATF 114 V 310 consid. 2 in fine; arrêt 8C_554/2017 du 4 juillet 2018 consid. 3.3.1; OMLIN, op. cit., p. 256).</w:t>
      </w:r>
    </w:p>
    <w:p>
      <w:r>
        <w:rPr>
          <w:b/>
        </w:rPr>
        <w:t>E. 7.3</w:t>
      </w:r>
    </w:p>
    <w:p>
      <w:r>
        <w:t>En l'espèce, l'intimé était âgé de 64 ans et huit mois au moment de l'ouverture du droit à la rente, et il ne lui restait que quatre mois d'activité professionnelle jusqu'à l'âge de la retraite AVS. Il ressort des constatations de l'arrêt attaqué qu'il s'était opposé à la décision initiale de la recourante pour le motif principal qu'il n'envisageait pas de pouvoir se former et reprendre une nouvelle activité pour seulement quelques mois. En outre, il demandait (à tort) l'octroi d'une rente d'invalidité de l'assurance-accidents jusqu'au 31 décembre 2020 uniquement, soit jusqu'au moment où il aurait atteint l'âge de retraite. Par ailleurs, la cour cantonale a retenu qu'il paraissait peu compatible avec un engagement limité à une période de quatre mois qu'un employeur octroie une certaine formation - impliquée par les activités du niveau de compétence 2 - à l'intimé. Ainsi, la conclusion s'impose que l'intimé n'a pas repris d'activité lucrative principalement à cause de son âge avancé. On est donc de toute évidence en présence d'un cas d'application de l' art. 28 al. 4 OLAA .</w:t>
      </w:r>
    </w:p>
    <w:p>
      <w:r>
        <w:rPr>
          <w:b/>
        </w:rPr>
        <w:t>E. 8.1</w:t>
      </w:r>
    </w:p>
    <w:p>
      <w:r>
        <w:t>L'application de l' art. 28 al. 4 OLAA étant admise, il sied d'examiner son rapport avec l'abattement à cause de l'âge.</w:t>
      </w:r>
    </w:p>
    <w:p>
      <w:r>
        <w:rPr>
          <w:b/>
        </w:rPr>
        <w:t>E. 8.2</w:t>
      </w:r>
    </w:p>
    <w:p>
      <w:r>
        <w:t>A ce propos, on rappellera d'abord que,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(voir l'arrêt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arrêt 8C_405/2021 du 9 novembre 2021 consid. 6.4.1).</w:t>
      </w:r>
    </w:p>
    <w:p>
      <w:r>
        <w:rPr>
          <w:b/>
        </w:rPr>
        <w:t>E. 8.3</w:t>
      </w:r>
    </w:p>
    <w:p>
      <w:r>
        <w:t>On soulignera également que l'âge avancé d'un assuré - comme facteur prépondérant à son empêchement de maintenir sa capacité de gain - n'est pas pris en considération de la même manière en assurance-invalidité et en assurance accidents, dans laquelle l' art. 28 al. 4 OLAA , en lien avec l' art. 18 al. 2 LAA , commande de faire abstraction du facteur de l'âge pour les deux termes de la comparaison des revenus, et que l' art. 28 al. 4 OLAA vise à empêcher l'octroi de rentes d'invalidité de l'assurance-accidents qui comporteraient, en fait, une composante de prestation de vieillesse (arrêt 8C_37/2017 du 15 septembre 2017 consid. 6.1, cf. consid. 7.2 supra). Le Tribunal fédéral n'a pas encore tranché le point de savoir si, dans le domaine de l'assurance-accidents obligatoire, l'âge avancé constitue un critère d'abattement ou si l'influence de l'âge sur la capacité de gain doit être prise en compte uniquement dans le cadre de la réglementation particulière de l' art. 28 al. 4 OLAA (cf. arrêts 8C_219/2022 du 2 juin 2022, consid. 6.7.2; 8C_608/2021 du 26 avril 2022 consid. 4.3.2; 8C_659/2021 du 17 février 2022 consid. 4.3.2; 8C_597/2020 du 16 juin 2021 consid. 5.2.5; 8C_227/2017 du 17 mai 2018 consid. 5, in: SVR 2018 UV n° 40 p. 145).</w:t>
      </w:r>
    </w:p>
    <w:p>
      <w:r>
        <w:rPr>
          <w:b/>
        </w:rPr>
        <w:t>E. 8.4</w:t>
      </w:r>
    </w:p>
    <w:p>
      <w:r>
        <w:t>Dans le cadre de la révision de la LAA du 25 septembre 2015 (Assurance-accidents et prévention des accidents, en vigueur depuis le 1er janvier 2017 [RO 2016 4375; FF 2008 4877, FF 2014 7691]), le législateur a introduit un nouvel art. 20 al. 2ter LAA , dont la teneur est la suivante: "Lorsque l'assuré atteint l'âge ordinaire de la retraite, la rente d'invalidité visée à l'al. 1 et la rente complémentaire visée à l'al. 2, allocations de renchérissement comprises, sont réduites comme suit, en dérogation à l' art. 69 LPGA , pour chaque année entière comprise entre le jour où il a eu 45 ans et le jour où l'accident est survenu: (a) pour un taux d'invalidité de 40 % ou plus: de 2 points de pourcentage, mais de 40 % au plus; (b) pour un taux d'invalidité inférieur à 40 %: de 1 point de pourcentage, mais de 20 % au plus."</w:t>
      </w:r>
    </w:p>
    <w:p>
      <w:r>
        <w:t>Selon le message du Conseil fédéral, les règles de réduction de l' art. 20 al. 2ter LAA devraient s'ajouter au correctif prévu à l' art. 28 al. 4 OLAA (message additionnel relatif à la modification de la loi fédérale sur l'assurance-accidents [Assurance-accidents et prévention des accidents; organisation et activités accessoires de la CNA] du 19 septembre 2014, FF 2014 p. 7716). Comme les deux règles poursuivent en principe le même but, soit d'éviter une surindemnisation à cause de l'âge avancé de l'assuré, et que la loi a été modifiée ultérieurement, certains auteurs suggèrent d'examiner si, et dans quelle mesure, la disposition contenue dans l'ordonnance serait toujours nécessaire pour atteindre ce but (THOMAS FLÜCKIGER, in Basler Kommentar, Unfallversicherungsgesetz, 2019, n° 83 ad art. 18 LAA ; PHILIPP GEERTSEN, Das Komplementärrentensystem der Unfallversicherung zur Koordination von UVG-Invalidenrenten mit Rentenleistungen der I. Säule [Art. 20 Abs. 2 UVG], 2011, p. 340; MARC HÜRZELER/CLAUDIA CADERAS, in: Kommentar zum schweizerischen Sozialversicherungsrecht, UVG, 2018, n° 38 ad art. 18 LAA ). La question n'a pas à être examinée en l'espèce, la rente de l'intimé ne pouvant pas être réduite selon l' art. 20 al. 2ter LAA (cf. al. 2 des dispositions transitoires relatives à la modification du 25 septembre 2015). On retiendra néanmoins que, par cette disposition, le législateur a réitéré sa volonté d'éviter une surindemnisation à cause de l'âge avancé de l'assuré.</w:t>
      </w:r>
    </w:p>
    <w:p>
      <w:r>
        <w:rPr>
          <w:b/>
        </w:rPr>
        <w:t>E. 8.5</w:t>
      </w:r>
    </w:p>
    <w:p>
      <w:r>
        <w:t>Pour atteindre son objectif, l' art. 28 al. 4 OLAA commande qu'on calcule le taux d'invalidité sur la base des revenus (sans et avec invalidité) hypothétiques que pourrait obtenir un assuré d'âge moyen, et que - contrairement à l' art. 16 LPGA - on fasse ainsi abstraction de l'incapacité de travail due à l'âge avancé de l'assuré (cf. ATF 114 V 310 consid. 3b; arrêt U 60/87 du 12 avril 1988 consid. 2; OMLIN, op. cit., p. 255 et 257; cf. consid. 7.2 supra). Or, dès lors que l'on doit s'appuyer sur les valeurs salariales d'un assuré d'âge moyen, une influence pénalisante de l'âge avancé sur le salaire ne peut par définition pas entrer en ligne de compte. Il s'ensuit qu'un abattement à cause de l'âge avancé d'un assuré ne peut pas être envisagé lorsqu'on est en présence d'un cas d'application de l' art. 28 al. 4 OLAA .</w:t>
      </w:r>
    </w:p>
    <w:p>
      <w:r>
        <w:rPr>
          <w:b/>
        </w:rPr>
        <w:t>E. 9.1</w:t>
      </w:r>
    </w:p>
    <w:p>
      <w:r>
        <w:t>Finalement, il sied d'examiner les revenus (avec et sans invalidité) devant être pris en compte en l'espèce. Dans le cadre de l'application de l' art. 28 al. 4 OLAA , la comparaison des revenus pour l'évaluation du taux d'invalidité doit être établie avec une personne d'âge moyen ayant les mêmes capacités professionnelles et aptitudes personnelles que l'assuré. Est déterminant, pour fixer (de manière hypothétique) le revenu réalisable sans invalidité et le revenu d'invalide, le gain que cette personne pourrait obtenir en exerçant une activité raisonnablement exigible, compte tenu des possibilités que lui offre un marché du travail équilibré ( ATF 114 V 310 consid. 4a; cf. consid. 7.2 et 8.5 supra).</w:t>
      </w:r>
    </w:p>
    <w:p>
      <w:r>
        <w:rPr>
          <w:b/>
        </w:rPr>
        <w:t>E. 9.2</w:t>
      </w:r>
    </w:p>
    <w:p>
      <w:r>
        <w:t>A l'instar de la recourante, la juridiction cantonale a déterminé le revenu avec invalidité en appliquant les valeurs statistiques de l'ESS (cf. consid. 4.1 supra). Il a déjà été retenu que l'abattement de 10 % opéré par la cour cantonale à cause de l'âge et des limitations fonctionnelles ne peut pas être confirmé (cf. consid. 6 et 8.5 supra), de sorte qu'il en résulte un revenu avec invalidité de 71'946 fr.</w:t>
      </w:r>
    </w:p>
    <w:p>
      <w:r>
        <w:rPr>
          <w:b/>
        </w:rPr>
        <w:t>E. 9.3</w:t>
      </w:r>
    </w:p>
    <w:p>
      <w:r>
        <w:t>En ce qui concerne le revenu sans invalidité, la cour cantonale a suivi la recourante, qui a fixé le revenu sans invalidité à 75'000 fr. sur la base du "contrat AFC", ce que l'intimé n'a pas remis en question. Or les pièces au dossier ne permettent pas de vérifier si ce revenu équivaut à un salaire que pourrait réaliser un assuré d'âge moyen étant dans la même situation professionnelle (soit travaillant comme monteur de faux-planchers indépendant) et disposant des mêmes qualifications (soit principalement d'un CAP en menuiserie de bâtiment). Il s'ensuit que le recours doit être partiellement admis, l'arrêt cantonal annulé et la cause renvoyée à la recourante pour instruction complémentaire sur la question du revenu hypothétique sans invalidité qui doit être pris en considération. Après quoi, la recourante rendra une nouvelle décision sur le droit à la rente de l'intimé.</w:t>
      </w:r>
    </w:p>
    <w:p>
      <w:r>
        <w:rPr>
          <w:b/>
        </w:rPr>
        <w:t>E. 10</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 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