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8C_716/2019 vom 7. November 2019</w:t>
      </w:r>
    </w:p>
    <w:p>
      <w:r>
        <w:t>Bundesgericht, 2019-11-07, DE</w:t>
      </w:r>
    </w:p>
    <w:p>
      <w:r>
        <w:rPr>
          <w:b/>
        </w:rPr>
        <w:t xml:space="preserve">Quelle: </w:t>
      </w:r>
      <w:r>
        <w:t>https://mcp.opencaselaw.ch/entscheid/bger_8C_716_2019</w:t>
      </w:r>
    </w:p>
    <w:p>
      <w:r>
        <w:t>FR: TF 8C_716/2019 du 7 novembre 2019</w:t>
      </w:r>
    </w:p>
    <w:p>
      <w:r>
        <w:t>IT: TF 8C_716/2019 del 7 novembre 2019</w:t>
      </w:r>
    </w:p>
    <w:p>
      <w:pPr>
        <w:pStyle w:val="Heading2"/>
      </w:pPr>
      <w:r>
        <w:t>Volltext</w:t>
      </w:r>
    </w:p>
    <w:p>
      <w:r>
        <w:t>Bundesgericht</w:t>
      </w:r>
    </w:p>
    <w:p>
      <w:r>
        <w:t>Tribunal fédéral</w:t>
      </w:r>
    </w:p>
    <w:p>
      <w:r>
        <w:t>Tribunale federale</w:t>
      </w:r>
    </w:p>
    <w:p>
      <w:r>
        <w:t>Tribunal federal</w:t>
      </w:r>
    </w:p>
    <w:p>
      <w:r>
        <w:t>8C_716/2019</w:t>
      </w:r>
    </w:p>
    <w:p>
      <w:r>
        <w:t>Urteil vom 7. November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w:t>
      </w:r>
    </w:p>
    <w:p>
      <w:r>
        <w:t>des Versicherungsgerichts des Kantons St. Gallen</w:t>
      </w:r>
    </w:p>
    <w:p>
      <w:r>
        <w:t>vom 16. September 2019 (UV 2018/82).</w:t>
      </w:r>
    </w:p>
    <w:p>
      <w:r>
        <w:t>Nach Einsicht,</w:t>
      </w:r>
    </w:p>
    <w:p>
      <w:r>
        <w:t>in die Beschwerde vom 23. Oktober 2019 (Poststempel) gegen den Entscheid des Versicherungsgerichts des Kantons St. Gallen vom 16. September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vor Vorinstanz im Streit stand, ob die Verwaltung auf die vom Beschwerdeführer ausserhalb der vom Gesetz vorgegebenen, in der Verfügung vom 20. August 2018 erwähnten Rechtsmittelfrist dagegen erhobene Einsprache hätte eintreten müssen,</w:t>
      </w:r>
    </w:p>
    <w:p>
      <w:r>
        <w:t>dass das kantonale Gericht dazu erwog,</w:t>
      </w:r>
    </w:p>
    <w:p>
      <w:r>
        <w:t>- hierfür bedürfe es eines Fristwiederherstellungsgrundes im Sinne von Art. 41 ATSG , der vorliegend aber nicht ausgewiesen sei</w:t>
      </w:r>
    </w:p>
    <w:p>
      <w:r>
        <w:t>- zudem könne der Versicherte nichts zu seinen Gunsten aus der behaupteten Rechtsunkenntnis ableiten, da die verspätet angefochtene Verfügung eine umfassende Rechtsmittelbelehrung umschlossen habe,</w:t>
      </w:r>
    </w:p>
    <w:p>
      <w:r>
        <w:t>dass der Beschwerdeführer zwar ein Eintreten auf seine "unbewusst 1 Tag zu spät" erhobene Einsprache fordert, ohne indessen darzutun inwiefern die Vorinstanz mit ihren Ausführungen dazu gegen Recht verstossen haben soll; im Wesentlichen lediglich das bereits vor dem kantonalen Gericht Vorgetragene zu wiederholen und sinngemäss um Nachsicht zu ersuchen, reicht nicht aus,</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7. November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