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8C_715/2023 vom 9. April 2024</w:t>
      </w:r>
    </w:p>
    <w:p>
      <w:r>
        <w:t>Bundesgericht, 2024-04-09, DE</w:t>
      </w:r>
    </w:p>
    <w:p>
      <w:r>
        <w:rPr>
          <w:b/>
        </w:rPr>
        <w:t xml:space="preserve">Quelle: </w:t>
      </w:r>
      <w:r>
        <w:t>https://mcp.opencaselaw.ch/entscheid/bger_8C_715_2023</w:t>
      </w:r>
    </w:p>
    <w:p>
      <w:r>
        <w:t>FR: TF 8C_715/2023 du 9 avril 2024</w:t>
      </w:r>
    </w:p>
    <w:p>
      <w:r>
        <w:t>IT: TF 8C_715/2023 del 9 aprile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2.1</w:t>
      </w:r>
    </w:p>
    <w:p>
      <w:r>
        <w:t>Strittig ist, ob die Vorinstanz Bundesrecht verletzte, indem sie den Einspracheentscheid bestätigte, womit die Beschwerdegegnerin an der Verneinung eines Anspruchs auf Kurzarbeitsentschädigung mangels eines anrechenbaren Arbeitsausfalls festhielt.</w:t>
      </w:r>
    </w:p>
    <w:p>
      <w:r>
        <w:rPr>
          <w:b/>
        </w:rPr>
        <w:t>E. 2.2</w:t>
      </w:r>
    </w:p>
    <w:p>
      <w:r>
        <w:t>Das kantonale Gericht hat die für die Beurteilung des Leistungsanspruchs massgebenden Rechtsgrundlagen richtig dargelegt. Darauf wird verwiesen ( Art. 109 Abs. 3 BGG ).</w:t>
      </w:r>
    </w:p>
    <w:p>
      <w:r>
        <w:rPr>
          <w:b/>
        </w:rPr>
        <w:t>E. 3.1</w:t>
      </w:r>
    </w:p>
    <w:p>
      <w:r>
        <w:t>Die Vorinstanz hat mit ausführlicher und in allen Teilen überzeugender Begründung, worauf verwiesen wird ( Art. 109 Abs. 3 BGG ), zutreffend erkannt, der geltend gemachte Umsatzrückgang vom Herbst 2022 sei innerhalb des normalen Betriebsrisikos gelegen. Die hinsichtlich der Vorbereitung auf eine schwere Mangellage im Bereich der Strom- und Gasversorgung ab Mai 2022 in der Öffentlichkeit diskutierten und im November 2022 vom Bundesrat konkret in die Vernehmlassung geschickten Notverordnungsmassnahmen betreffend Einschränkungen der privaten Nutzung von Elektrofahrzeugen seien weder in Kraft getreten noch jemals zur Anwendung gelangt. Die präventiv empfohlenen Stromsparmassnahmen zur Verhinderung einer Strommangellage hätten das Verhalten der Konsumenten ebenfalls nicht im erhofften Ausmass zu beeinflussen vermocht. Zudem habe der Marktanteil der Neuwagenimmatrikulationen von reinen Elektrofahrzeugen von 2021 bis 2023 kontinuierlich zugenommen. Überdies komme es seit der Gründung der Beschwerdeführerin regelmässig zu Umsatzschwankungen (vgl. dazu Urteil 8C_267/2012 vom 28. September 2012 E. 3.2 mit Hinweisen), weshalb mit Blick auf die konkreten Verhältnisse nicht von einer aussergewöhnlichen Situation auszugehen sei, die nicht unter das normale Betriebsrisiko falle. Mangels eines anrechenbaren Arbeitsausfalls (vgl. Art. 33 Abs. 1 lit. a AVIG ) habe die Beschwerdegegnerin zu Recht einen Anspruch auf Kurzarbeitsentschädigung verneint.</w:t>
      </w:r>
    </w:p>
    <w:p>
      <w:r>
        <w:rPr>
          <w:b/>
        </w:rPr>
        <w:t>E. 3.2</w:t>
      </w:r>
    </w:p>
    <w:p>
      <w:r>
        <w:t>Was die Beschwerdeführerin hiergegen vorbringt, ist offensichtlich unbegründet. Sie beanstandet einzig, das kantonale Gericht habe den Sachverhalt offensichtlich unrichtig festgestellt. Sie begnügt sich dabei im Wesentlichen mit appellatorischer Kritik am angefochtenen Urteil, worauf nicht weiter einzugehen ist (E. 1.2 i.f.). Soweit sie sich mit dessen Erwägungen überhaupt sachbezüglich auseinander setzt (vgl. Art. 42 Abs. 2 BGG ), legt sie nicht in einer dem qualifizierten Rügeprinzip genügenden Weise dar, inwiefern die vorinstanzliche Sachverhaltsfeststellung das Willkürverbot verletzen soll (E. 1.2). Weshalb die Statistiken der Neuimmatrikulationen von rein elektrischen Personenwagen - entgegen dem angefochtenen Urteil - ohne Aussagekraft seien bei der Beurteilung des Einflusses auf den Kaufentscheid zur Anschaffung eines Elektrofahrzeuges, zeigt die Beschwerdeführerin nicht auf.</w:t>
      </w:r>
    </w:p>
    <w:p>
      <w:r>
        <w:rPr>
          <w:b/>
        </w:rPr>
        <w:t>E. 4</w:t>
      </w:r>
    </w:p>
    <w:p>
      <w:r>
        <w:t>Die Beschwerde ist offensichtlich unbegründet, weshalb sie im vereinfachten Verfahren nach Art. 109 Abs. 2 lit. a BGG mit summarischer Begründung und unter Hinweis auf die Erwägungen im angefochtenen Entscheid erledigt wird ( Art. 109 Abs. 3 BGG ).</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