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8C_713/2012 vom 20. August 2013</w:t>
      </w:r>
    </w:p>
    <w:p>
      <w:r>
        <w:t>Bundesgericht, 2013-08-20, FR</w:t>
      </w:r>
    </w:p>
    <w:p>
      <w:r>
        <w:rPr>
          <w:b/>
        </w:rPr>
        <w:t xml:space="preserve">Quelle: </w:t>
      </w:r>
      <w:r>
        <w:t>https://mcp.opencaselaw.ch/entscheid/bger_8C_713_2012</w:t>
      </w:r>
    </w:p>
    <w:p>
      <w:r>
        <w:t>FR: TF 8C_713/2012 du 20 août 2013</w:t>
      </w:r>
    </w:p>
    <w:p>
      <w:r>
        <w:t>IT: TF 8C_713/2012 del 20 agosto 2013</w:t>
      </w:r>
    </w:p>
    <w:p>
      <w:pPr>
        <w:pStyle w:val="Heading2"/>
      </w:pPr>
      <w:r>
        <w:t>Erwägungen</w:t>
      </w:r>
    </w:p>
    <w:p>
      <w:r>
        <w:rPr>
          <w:b/>
        </w:rPr>
        <w:t>E. 1</w:t>
      </w:r>
    </w:p>
    <w:p>
      <w:r>
        <w:t>Le présent recours concerne une prétention pécuniaire en matière de rapports de travail de droit public. Le motif d'exclusion de l' art. 83 let . g LTF n'entre ainsi pas en considération. Par ailleurs, le seuil requis de la valeur litigieuse ( art. 85 al. 1 let. b LTF ) est dépassé.</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recourante se plaint d'une application arbitraire par les premiers juges de l'art. 6 du règlement relatif au système de rétribution des collaborateurs de l'Etat de Vaud (RSRC; RS/VD 172.315.2).</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w:t>
      </w:r>
    </w:p>
    <w:p>
      <w:r>
        <w:rPr>
          <w:b/>
        </w:rPr>
        <w:t>E. 2.2</w:t>
      </w:r>
    </w:p>
    <w:p>
      <w:r>
        <w:t>Le RSRC, adopté par le Conseil d'Etat le 28 novembre 2008, a pour but de définir le système de rétribution et son application aux collaborateurs qui occupent une fonction à l'Etat de Vaud (art. 1er al. 1). Sous le titre "Réduction en cas d'absence de titre", l'art. 6 de ce règlement est ainsi libellé:</w:t>
      </w:r>
    </w:p>
    <w:p>
      <w:r>
        <w:t>1Lorsque, à titre exceptionnel, l'Etat doit recourir à l'engagement d'un collaborateur ne répondant pas aux exigences nécessaires à l'exercice de la fonction (absence de titre), sa rétribution fait l'objet d'une réduction, correspondant à une classe de salaire.</w:t>
      </w:r>
    </w:p>
    <w:p>
      <w:r>
        <w:t>2Pour le secteur de l'enseignement, l'absence du titre pédagogique tel que défini par les règlements de reconnaissance des diplômes édictés par la Conférence suisse des directeurs cantonaux de l'instruction publique [CDIP] entraîne une réduction correspondant à une classe. L'absence de tout titre pédagogique entraîne une réduction correspondant à deux classes.</w:t>
      </w:r>
    </w:p>
    <w:p>
      <w:r>
        <w:t>(...)</w:t>
      </w:r>
    </w:p>
    <w:p>
      <w:r>
        <w:rPr>
          <w:b/>
        </w:rPr>
        <w:t>E. 2.3</w:t>
      </w:r>
    </w:p>
    <w:p>
      <w:r>
        <w:t>Les premiers juges ont confirmé la collocation de la recourante dans le niveau de fonction 11B. Ils se sont fondés sur le texte de l'art. 6 al. 2 RSRC interprété à l'aune de la note explicative relative à cette disposition réglementaire établie par la Direction générale de l'enseignement obligatoire (DGEO) - produite en cours de procédure par l'Etat de Vaud -, et des déclarations des témoins C.________ ainsi que P.________. Il en ressortait que le Conseil d'Etat du canton de Vaud avait fait le choix de se référer aux standards fixés par la CDIP pour décider du titre pédagogique requis pour l'exercice de chaque métier de l'enseignement. Ces standards s'appliquaient aussi bien à l'école de formation à l'enseignement (la HEP du canton de Vaud) qu'aux autorités d'engagement. Dans le domaine de l'enseignement, après la bascule DECFO-SYSREM, trois situations différentes étaient susceptibles de se présenter. Dans certains secteurs (enseignement primaire), les cursus de formation pédagogique des anciens titres et des nouveaux avaient été reconnus équivalents par la CDIP, si bien qu'aucune pénalité n'était appliquée. Dans d'autres secteurs (enseignement secondaire I, enseignement spécialisé), les cursus de formation pédagogique anciens et actuels pouvaient être très différents. Certains titres pédagogiques ne correspondaient plus aux nouvelles normes fixées par la CDIP. Dans la mesure où les titulaires de ces titres disposaient néanmoins d'un bagage pédagogique supérieur à ceux n'ayant suivi aucune formation pédagogique du tout, le Conseil d'Etat avait décidé, afin d'opérer une différence entre ces deux catégories, d'introduire le niveau "A" (réduction d'une classe de traitement) pour les enseignants porteurs de titres pédagogiques anciens et non conformes aux normes de la CDIP et le niveau "B" (réduction de deux classes de traitement) pour les autres sans titre pédagogique. En résumé, pour bénéficier d'une rémunération sans pénalités, il fallait être titulaire d'un master en pédagogie délivré par la HEP selon les nouveaux standards ou d'un titre pédagogique tel que défini par les règlements de reconnaissance des diplômes de la CDIP.</w:t>
      </w:r>
    </w:p>
    <w:p>
      <w:r>
        <w:t>En l'espèce, toujours selon les premiers juges, le règlement pertinent était celui de la CDIP concernant la reconnaissance des diplômes de hautes écoles pour les enseignantes et enseignants du degré secondaire I du 26 août 1999. Parmi les conditions auxquelles un diplôme d'enseignement devait satisfaire pour être reconnu par la CDIP figurait un volume d'études de 270 à 300 crédits définis selon le système européen de transfert et d'accumulation de crédits (ECTS) (voir art. 6). Cependant, le diplôme du Conservatoire de musique obtenu par la recourante sanctionnait une formation représentant 180 crédits ECTS et correspondant à un bachelor en musique, si bien que celle-ci n'avait pas droit à une pleine rémunération. Une collocation au niveau de fonction 11A n'entrait pas non plus en ligne de compte. En effet, pour disposer d'un titre pédagogique au sens de l'art. 6 RSRC, il fallait avoir effectué un cursus de formation pédagogique spécifique à l'enseignement dans l'école publique à l'instar de celui délivré par la HEP. La formation pédagogique dispensée au Conservatoire était destinée à l'enseignement musical d'élèves d'une école de musique et non pas d'une classe dans le cadre de l'instruction obligatoire, elle ne pouvait donc être considérée comme équivalente à un tel titre.</w:t>
      </w:r>
    </w:p>
    <w:p>
      <w:r>
        <w:rPr>
          <w:b/>
        </w:rPr>
        <w:t>E. 2.4</w:t>
      </w:r>
    </w:p>
    <w:p>
      <w:r>
        <w:t>En l'occurrence, la recourante ne conteste pas que son diplôme ne remplit pas les conditions de reconnaissance posées par la CDIP. Elle soutient en revanche que la mention "capacité d'enseignement" figurant sur ce diplôme atteste d'une formation pédagogique suffisante pour être colloquée en 11A, ce d'autant plus que la juridiction cantonale avait admis, sur la base des témoignages recueillis, qu'elle disposait de "tout le bagage nécessaire pour enseigner à des écoliers". Cette argumentation n'est toutefois pas de nature à démontrer le caractère arbitraire de la décision attaquée. Selon l'art. 6 al. 2 RSRC, la collocation des enseignants dans les classes de traitement se fait exclusivement en fonction des titres obtenus et non pas en fonction des compétences personnelles ou de la pratique professionnelle acquise. Or, la recourante ne remet pas en cause l'interprétation par la juridiction cantonale de ce qu'il faut comprendre par titre pédagogique au sens de cette disposition, à savoir la titularité d'un diplôme d'enseignement spécifique à l'école publique (cela ressort au demeurant également de l'art. 100 al. 1 du règlement d'application de la loi scolaire du 12 juin 1984 [RLS; RS/ VD 400.01.1], aux termes duquel les titres requis pour enseigner dans les classes régies par la loi sont ceux délivrés par la HEP et les anciens titres mentionnés à l'art. 103a RLS). Enfin, la recourante se borne à affirmer, mais sans en apporter la démonstration, que la formation en pédagogie qu'elle a suivie au Conservatoire de musique X.________ est équivalente à celle enseignée dans une HEP. Ainsi, le grief d'arbitraire se révèle infondé.</w:t>
      </w:r>
    </w:p>
    <w:p>
      <w:r>
        <w:t>Le recours doit être rejeté.</w:t>
      </w:r>
    </w:p>
    <w:p>
      <w:r>
        <w:rPr>
          <w:b/>
        </w:rPr>
        <w:t>E. 3</w:t>
      </w:r>
    </w:p>
    <w:p>
      <w:r>
        <w:t>La recourante, qui succombe, supportera les frais de justice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