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8C_712/2023 vom 20. Dezember 2023</w:t>
      </w:r>
    </w:p>
    <w:p>
      <w:r>
        <w:t>Bundesgericht, 2023-12-20, IT</w:t>
      </w:r>
    </w:p>
    <w:p>
      <w:r>
        <w:rPr>
          <w:b/>
        </w:rPr>
        <w:t xml:space="preserve">Quelle: </w:t>
      </w:r>
      <w:r>
        <w:t>https://mcp.opencaselaw.ch/entscheid/bger_8C_712_2023</w:t>
      </w:r>
    </w:p>
    <w:p>
      <w:r>
        <w:t>FR: TF 8C_712/2023 du 20 décembre 2023</w:t>
      </w:r>
    </w:p>
    <w:p>
      <w:r>
        <w:t>IT: TF 8C_712/2023 del 20 dicembre 2023</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(cfr. DTF 144 II 84 consid. 1).</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Esposti i presupposti del condono, in particolar modo quello della buona fede (cfr. sentenza 8C_107/2023 del 5 luglio 2023 consid. 3.1), i giudici ticinesi hanno ritenuto che la ricorrente non poteva non aver preso nota dell'avvertenza circa l'obbligo di informazione contenuta nelle decisioni che le riconoscevano gli assegni familiari, lei stessa avendo per anni inoltrato l'attestato di frequenza scolastico del figlio onde evitare la sospensione delle prestazioni. La sua attenzione era inoltre stata attirata sin dal principio sulla necessità di comunicare alla Cassa il deposito di una richiesta di prestazione complementare all'AVS/AI, sottoscritta dalla ricorrente l'11 ottobre 2021 (e accolta il 15 febbraio 2022) ma segnalata alla Cassa soltanto il 25 novembre 2022. Ciò andava ad aggiungersi al riconoscimento della rendita di invalidità (per lei e per il figlio) avvenuto con decisione del 14 maggio 2021 dell'Istituto delle assicurazioni sociali del Cantone Ticino. La violazione commessa dalla ricorrente configurava quantomeno una negligenza grave, per cui la buona fede non poteva essere ammessa.</w:t>
      </w:r>
    </w:p>
    <w:p>
      <w:r>
        <w:rPr>
          <w:b/>
        </w:rPr>
        <w:t>E. 2.2</w:t>
      </w:r>
    </w:p>
    <w:p>
      <w:r>
        <w:t>La ricorrente insiste in maniera apodittica di non aver fatto nulla di illegale, né di avere disatteso il proprio obbligo di informazione, ripetendo in questa sede quanto già esposto dinanzi all'autorità precedente. Così facendo, ella non si confronta come dovrebbe con i considerandi della sentenza impugnata, omettendo di dimostrare l'arbitrio nell'accertamento dei fatti o la violazione del diritto nell'operato dei giudici cantonali.</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