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8C_712/2009 vom 25. September 2009</w:t>
      </w:r>
    </w:p>
    <w:p>
      <w:r>
        <w:t>Bundesgericht, 2009-09-25, DE</w:t>
      </w:r>
    </w:p>
    <w:p>
      <w:r>
        <w:rPr>
          <w:b/>
        </w:rPr>
        <w:t xml:space="preserve">Quelle: </w:t>
      </w:r>
      <w:r>
        <w:t>https://mcp.opencaselaw.ch/entscheid/bger_8C_712_2009</w:t>
      </w:r>
    </w:p>
    <w:p>
      <w:r>
        <w:t>FR: TF 8C_712/2009 du 25 septembre 2009</w:t>
      </w:r>
    </w:p>
    <w:p>
      <w:r>
        <w:t>IT: TF 8C_712/2009 del 25 settembre 2009</w:t>
      </w:r>
    </w:p>
    <w:p>
      <w:pPr>
        <w:pStyle w:val="Heading2"/>
      </w:pPr>
      <w:r>
        <w:t>Volltext</w:t>
      </w:r>
    </w:p>
    <w:p>
      <w:r>
        <w:t>Bundesgericht</w:t>
      </w:r>
    </w:p>
    <w:p>
      <w:r>
        <w:t>Tribunal fédéral</w:t>
      </w:r>
    </w:p>
    <w:p>
      <w:r>
        <w:t>Tribunale federale</w:t>
      </w:r>
    </w:p>
    <w:p>
      <w:r>
        <w:t>Tribunal federal</w:t>
      </w:r>
    </w:p>
    <w:p>
      <w:r>
        <w:t>{T 0/2}</w:t>
      </w:r>
    </w:p>
    <w:p>
      <w:r>
        <w:t>8C_712/2009</w:t>
      </w:r>
    </w:p>
    <w:p>
      <w:r>
        <w:t>Urteil vom 25. September 2009</w:t>
      </w:r>
    </w:p>
    <w:p>
      <w:r>
        <w:t>I. sozialrechtliche Abteilung</w:t>
      </w:r>
    </w:p>
    <w:p>
      <w:r>
        <w:t>Besetzung</w:t>
      </w:r>
    </w:p>
    <w:p>
      <w:r>
        <w:t>Bundesrichter Ursprung, Präsident,</w:t>
      </w:r>
    </w:p>
    <w:p>
      <w:r>
        <w:t>Gerichtsschreiber Grünvogel.</w:t>
      </w:r>
    </w:p>
    <w:p>
      <w:r>
        <w:t>Parteien</w:t>
      </w:r>
    </w:p>
    <w:p>
      <w:r>
        <w:t>A.________, vertreten durch Beratungsstelle für Ausländer,</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28. Juli 2009.</w:t>
      </w:r>
    </w:p>
    <w:p>
      <w:r>
        <w:t>Nach Einsicht</w:t>
      </w:r>
    </w:p>
    <w:p>
      <w:r>
        <w:t>in die Beschwerde vom 3. September 2009 gegen den Entscheid des Sozialversicherungsgerichts des Kantons Zürich vom 28. Juli 2009, worin in Auseinandersetzung mit den Parteivorbringen und in Würdigung der im Recht gelegenen und eingeholten Arztberichte das kantonale Gericht zum Schluss gelangt ist, der vorliegend allein in Frage stehende Gesundheitszustand des Versicherten zum Zeitpunkt des Verfügungserlasses vom 19. Dezember 2007 sei hinreichend geklärt und erlaube es diesem, in einer dem Leiden angepassten Tätigkeit zu 100% der Norm zu arbeiten, was einen Rentenanspruch ausschliesse,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vom 3. September 2009 diesen Anforderungen nicht genügt, werden darin zwar von der Vorinstanz getroffene Sachverhaltsfeststellungen zur Arbeitsfähigkeit in Frage gestellt, ohne indessen auf die dazugehörigen Erwägungen konkret einzugehen und dabei aufzuzeigen, inwiefern die Sachverhaltsfeststellungen im Sinne von Art. 97 Abs. 1 BGG offensichtlich unrichtig oder auf einer Rechtsverletzung gemäss Art. 95 BGG beruhend und die darauf basierenden Erwägungen rechtsfehlerhaft sein sollen; lediglich eine appellatorische Kritik genügt nicht,</w:t>
      </w:r>
    </w:p>
    <w:p>
      <w:r>
        <w:t>dass deshalb im vereinfachten Verfahren nach Art. 108 Abs. 1 lit. b BGG auf die Beschwerde nicht einzutreten ist,</w:t>
      </w:r>
    </w:p>
    <w:p>
      <w:r>
        <w:t>dass das Gesuch um unentgeltliche Prozessführung wegen aussichtsloser Prozessführung abzuweisen ist ( Art. 64 Abs. 1 BGG ), womit der Beschwerdeführer nach Art. 66 Abs. 1 und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Sozialversicherungsgericht des Kantons Zürich und dem Bundesamt für Sozialversicherungen schriftlich mitgeteilt.</w:t>
      </w:r>
    </w:p>
    <w:p>
      <w:r>
        <w:t>Luzern, 25. September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