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8C_711/2023 vom 16. November 2023</w:t>
      </w:r>
    </w:p>
    <w:p>
      <w:r>
        <w:t>Bundesgericht, 2023-11-16, DE</w:t>
      </w:r>
    </w:p>
    <w:p>
      <w:r>
        <w:rPr>
          <w:b/>
        </w:rPr>
        <w:t xml:space="preserve">Quelle: </w:t>
      </w:r>
      <w:r>
        <w:t>https://mcp.opencaselaw.ch/entscheid/bger_8C_711_2023</w:t>
      </w:r>
    </w:p>
    <w:p>
      <w:r>
        <w:t>FR: TF 8C_711/2023 du 16 novembre 2023</w:t>
      </w:r>
    </w:p>
    <w:p>
      <w:r>
        <w:t>IT: TF 8C_711/2023 del 16 novembre 2023</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w:t>
      </w:r>
    </w:p>
    <w:p>
      <w:r>
        <w:rPr>
          <w:b/>
        </w:rPr>
        <w:t>E. 2</w:t>
      </w:r>
    </w:p>
    <w:p>
      <w:r>
        <w:t>Das kantonale Gericht trat im angefochtenen Entscheid vom 5. Oktober 2023 auf die am 19. September 2023 der Post übergebene, gegen den Rekursentscheid des kantonalen Departements des Innern vom 29. August 2023 gerichtete Beschwerde, weil ausserhalb der Rechtsmittelfrist liegend, nicht ein. Das kantonale Gericht führte in Auseinandersetzung mit den Parteivorbringen und in Würdigung der Umstände zudem näher aus, weshalb die Voraussetzungen für ein ausnahmsweises Wiederherstellen der Frist als nicht erfüllt zu betrachten sind und auferlegte dem Beschwerdeführer dem Ausgang des Verfahrens folgend Gerichtskosten von Fr. 400.-. Gegenstand des Rekursentscheids war die Verfügung der Beschwerdegegnerin vom 14. November 2022.</w:t>
      </w:r>
    </w:p>
    <w:p>
      <w:r>
        <w:rPr>
          <w:b/>
        </w:rPr>
        <w:t>E. 3.1</w:t>
      </w:r>
    </w:p>
    <w:p>
      <w:r>
        <w:t>Die Vorbringen des Beschwerdeführers richten sich in erster Linie gegen die vorinstanzliche Kostenauflage. Das kantonale Gericht habe seinen mehrfach erklärten und allen Instanzen bekannten Willen missachtet, lediglich dann zu prozessieren, wenn ihm die unentgeltliche Rechtspflege gewährt werde, was zwingend eine Beurteilung der Prozessaussichten vor der Erzeugung von Kosten impliziere. Dass der Beschwerdeführer im vorinstanzlichen Verfahren tatsächlich konkret um kostenfreie Verfahrenserledigung bzw. um unentgeltliche Prozessführung ersucht hätte, belegt und behauptet er indessen nicht. Ebenso wenig führt er aus, inwiefern von Bundesrechts wegen ein Anspruch auf einen Zwischenentscheid über die Kostenrisiken bestehen soll. Das Vorgehen der Vorinstanz lediglich pauschal als willkürlich, den Anspruch auf rechtliches Gehör und gegen "bona fides" verstossend zu bezeichnen, reicht nicht aus.</w:t>
      </w:r>
    </w:p>
    <w:p>
      <w:r>
        <w:rPr>
          <w:b/>
        </w:rPr>
        <w:t>E. 3.2</w:t>
      </w:r>
    </w:p>
    <w:p>
      <w:r>
        <w:t>Soweit der Beschwerdeführer darüber hinaus das Nichteintreten auf die unstreitig nach Ablauf der Rechtsmittelfrist erhobene Beschwerde beanstandet, fehlt es hierfür (ebenfalls) an einer spezifischen Auseinandersetzung mit den dazu ergangenen vorinstanzlichen Erwägungen.</w:t>
      </w:r>
    </w:p>
    <w:p>
      <w:r>
        <w:rPr>
          <w:b/>
        </w:rPr>
        <w:t>E. 4</w:t>
      </w:r>
    </w:p>
    <w:p>
      <w:r>
        <w:t>Erweist sich die Beschwerde insgesamt als offensichtlich unzureichend begründet,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der Beschwerdeerhebung sinngemäss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