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711/2014 vom 28. Dezember 2015</w:t>
      </w:r>
    </w:p>
    <w:p>
      <w:r>
        <w:t>Bundesgericht, 2015-12-28, DE</w:t>
      </w:r>
    </w:p>
    <w:p>
      <w:r>
        <w:rPr>
          <w:b/>
        </w:rPr>
        <w:t xml:space="preserve">Quelle: </w:t>
      </w:r>
      <w:r>
        <w:t>https://mcp.opencaselaw.ch/entscheid/bger_8C_711_2014</w:t>
      </w:r>
    </w:p>
    <w:p>
      <w:r>
        <w:t>FR: TF 8C 711/2014 du 28 décembre 2015</w:t>
      </w:r>
    </w:p>
    <w:p>
      <w:r>
        <w:t>IT: TF 8C 711/2014 del 28 dicembre 2015</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2.3</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3.1</w:t>
      </w:r>
    </w:p>
    <w:p>
      <w:r>
        <w:t>Die Verfügung vom 3. Juli 2013 schliesst das Verfahren nicht ab; sie ist somit, wie auch der vorinstanzliche Entscheid vom 21. August 2014, als Zwischenentscheid im Sinne des BGG zu qualifizieren. Der vorinstanzliche Entscheid betrifft weder die Zuständigkeit, noch würde eine Gutheissung der Beschwerde sofort einen Endentscheid herbeiführen. Da weder geltend gemacht wurde noch ersichtlich ist, dass der vorinstanzliche Entscheid einen nicht wieder gutzumachenden Nachteil bewirken könnte, wäre auf die Beschwerde nur insoweit einzutreten, als der vorinstanzliche Entscheid als Entscheid über ein Ausstandsbegehren anzusehen ist. Soweit die Beschwerde andere Aspekte betrifft, worunter namentlich die Zulässigkeit der von der Beschwerdeführerin beantragten Ergänzungsfragen fällt, ist auf die Beschwerde zum Vorneherein nicht einzutreten.</w:t>
      </w:r>
    </w:p>
    <w:p>
      <w:r>
        <w:rPr>
          <w:b/>
        </w:rPr>
        <w:t>E. 3.2</w:t>
      </w:r>
    </w:p>
    <w:p>
      <w:r>
        <w:t>Rechtsprechungsgemäss kann sich ein Ausstandsbegehren stets nur gegen Personen und nicht gegen Behörden richten; nur die für eine Behörde tätigen Personen, nicht die Behörde als solche, können befangen sein (vgl. BGE 137 V 210 E. 1.3.3 S. 227). Soweit sich die Beschwerde somit auf das Ausstandsbegehren der Versicherten gegen das Institut B.________ als Institution bezieht, ist darauf nicht einzutreten (vgl. auch Urteil 8C_599/2014 vom 18. Dezember 2015 E. 3.3). Da die Versicherte zudem ausdrücklich "unbesehen der einzelnen Teilgutachter" das "Institut B.________ als Gutachterstelle" ablehnt, kann ihr Begehren auch nicht als sinngemässe Ablehnung sämtlicher Gutachter des Instituts B.________ interpretiert werden. Somit braucht nicht näher geprüft zu werden, ob der kantonale Entscheid überhaupt als ein Entscheid über Ausstandsbegehren im Sinne von Art. 92 Abs. 1 BGG und der hiezu ergangenen Rechtsprechung ( BGE 138 V 271 E. 2.2 f. S. 277 f.) betrachtet werden kann.</w:t>
      </w:r>
    </w:p>
    <w:p>
      <w:r>
        <w:rPr>
          <w:b/>
        </w:rPr>
        <w:t>E. 4</w:t>
      </w:r>
    </w:p>
    <w:p>
      <w:r>
        <w:t>Da vorliegendes Verfahren nicht in den Anwendungsbereich von Art. 6 Abs. 1 EMRK fällt (vgl. Urteil 8C_599/2014 vom 18. Dezember 2015 E. 5) und kein anderer sachlicher Grund für eine öffentliche Verhandlung erkennbar ist, ist der Antrag der Beschwerdeführerin, vor Bundesgericht eine entsprechende Verhandlung durchzuführen,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