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8C_710/2023 vom 21. Dezember 2023</w:t>
      </w:r>
    </w:p>
    <w:p>
      <w:r>
        <w:t>Bundesgericht, 2023-12-21, IT</w:t>
      </w:r>
    </w:p>
    <w:p>
      <w:r>
        <w:rPr>
          <w:b/>
        </w:rPr>
        <w:t xml:space="preserve">Quelle: </w:t>
      </w:r>
      <w:r>
        <w:t>https://mcp.opencaselaw.ch/entscheid/bger_8C_710_2023</w:t>
      </w:r>
    </w:p>
    <w:p>
      <w:r>
        <w:t>FR: TF 8C_710/2023 du 21 décembre 2023</w:t>
      </w:r>
    </w:p>
    <w:p>
      <w:r>
        <w:t>IT: TF 8C_710/2023 del 21 dicembre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piena cognizione la sua competenza ( art. 29 cpv. 1 LTF ), rispettivamente l'ammissibilità dei gravami che gli vengono sottoposti (cfr. DTF 144 II 84 consid. 1).</w:t>
      </w:r>
    </w:p>
    <w:p>
      <w:r>
        <w:rPr>
          <w:b/>
        </w:rPr>
        <w:t>E. 1.2</w:t>
      </w:r>
    </w:p>
    <w:p>
      <w:r>
        <w:t>L' art. 42 cpv. 1 e 2 LTF stabilisce che il ricorso al Tribunale federale, per essere ammissibile ( art. 108 cpv. 1 lett. b LTF ), deve contenere, tra l'altro, le conclusioni, i motivi e l'indicazione dei mezzi di prova e spiegare in modo conciso perché l'atto impugnato violerebbe il diritto o conterrebbe accertamenti manifestamente inesatti. È necessario confrontarsi specificatamente con i considerandi della sentenza impugnata e spiegare in dettaglio quali disposizioni siano state violate dall'autorità inferiore e perché ( DTF 134 V 53 consid. 3.3; 133 IV 286 consid. 1.4). Il rinvio ad uno scritto anteriore è inammissibile ( DTF 140 III 115 consid. 2; sentenza 8C_216/2023 del 13 settembre 2023 consid. 4.3), così come insufficiente è la semplice ripetizione del proprio punto di vista o la mera affermazione che il giudizio impugnato sia sbagliato (sull'inammissibilità di critiche appellatorie, cfr. DTF 148 IV 205 consid. 2.6; 144 V 50 consid. 4.2; 137 V 57 consid. 1.3).</w:t>
      </w:r>
    </w:p>
    <w:p>
      <w:r>
        <w:rPr>
          <w:b/>
        </w:rPr>
        <w:t>E. 2.1</w:t>
      </w:r>
    </w:p>
    <w:p>
      <w:r>
        <w:t>La Corte cantonale ha constatato che, nei periodi in cui erano pendenti le richieste di indennità per lavoro ridotto (ILR), la ricorrente aveva assunto due nuovi parrucchieri a sostituzione di un impiegato anziché impiegare il personale restante, per cui la perdita di lavoro non era inevitabile (cfr. sentenza 8C_273/2022 dell'8 febbraio 2023 consid. 6.2). La contestazione secondo cui le ILR concernevano essenzialmente tre ricezionisti non permetteva di comprendere in che modo venisse assicurato il coordinamento tra i parrucchieri e la clientela. Qualora fossero i parrucchieri ad occuparsene, la perdita di lavoro non risultava inevitabile in ragione delle nuove assunzioni; se invece non si trattava di un'attività essenziale, non spettava ad ogni modo alle ILR sostenere un esubero di personale (cfr. sentenza C 302/05 del 25 luglio 2007 consid. 6.2). La ricorrente non aveva inoltre comprovato che il lavoro ridotto fosse stato causato dalla pandemia o dalla guerra in Ucraina.</w:t>
      </w:r>
    </w:p>
    <w:p>
      <w:r>
        <w:rPr>
          <w:b/>
        </w:rPr>
        <w:t>E. 2.2</w:t>
      </w:r>
    </w:p>
    <w:p>
      <w:r>
        <w:t>Rinviando al contenuto dei propri ricorsi dinanzi all'istanza precedente, la ricorrente lamenta una distorsione dei fatti e la mancata comprensione delle proprie censure, senza tuttavia dimostrare l'arbitrio nell'accertamento dei fatti o la violazione del diritto nell'operato dei giudici cantonali.</w:t>
      </w:r>
    </w:p>
    <w:p>
      <w:r>
        <w:rPr>
          <w:b/>
        </w:rPr>
        <w:t>E. 2.3</w:t>
      </w:r>
    </w:p>
    <w:p>
      <w:r>
        <w:t>Il ricorso non soddisfa manifestamente le esigenze formali minime suesposte e pertanto, statuendo secondo la procedura semplificata dell' art. 108 cpv. 1 lett. b LTF , deve essere dichiarato inammissibile.</w:t>
      </w:r>
    </w:p>
    <w:p>
      <w:r>
        <w:rPr>
          <w:b/>
        </w:rPr>
        <w:t>E. 3</w:t>
      </w:r>
    </w:p>
    <w:p>
      <w:r>
        <w:t>Viste le peculiarità del caso, si prescinde dal caricare le spese giudiziarie alla parte soccombente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