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70/2013 vom 12. März 2013</w:t>
      </w:r>
    </w:p>
    <w:p>
      <w:r>
        <w:t>Bundesgericht, 2013-03-12, DE</w:t>
      </w:r>
    </w:p>
    <w:p>
      <w:r>
        <w:rPr>
          <w:b/>
        </w:rPr>
        <w:t xml:space="preserve">Quelle: </w:t>
      </w:r>
      <w:r>
        <w:t>https://mcp.opencaselaw.ch/entscheid/bger_8C_70_2013</w:t>
      </w:r>
    </w:p>
    <w:p>
      <w:r>
        <w:t>FR: TF 8C 70/2013 du 12 mars 2013</w:t>
      </w:r>
    </w:p>
    <w:p>
      <w:r>
        <w:t>IT: TF 8C 70/2013 del 12 marzo 2013</w:t>
      </w:r>
    </w:p>
    <w:p>
      <w:pPr>
        <w:pStyle w:val="Heading2"/>
      </w:pPr>
      <w:r>
        <w:t>Regeste</w:t>
      </w:r>
    </w:p>
    <w:p>
      <w:r>
        <w:t>Öffentliches Personalrecht | Öffentliches Dienstverhältnis</w:t>
      </w:r>
    </w:p>
    <w:p>
      <w:pPr>
        <w:pStyle w:val="Heading2"/>
      </w:pPr>
      <w:r>
        <w:t>Erwägungen</w:t>
      </w:r>
    </w:p>
    <w:p>
      <w:r>
        <w:rPr>
          <w:b/>
        </w:rPr>
        <w:t>E. 1</w:t>
      </w:r>
    </w:p>
    <w:p>
      <w:r>
        <w:t>Der angefochtene Entscheid ist ein Endentscheid einer letzten kantonalen Instanz ( Art. 86 Abs. 1 lit. d, Art. 90 BGG ) und betrifft ein öffentlich-rechtliches Arbeitsverhältnis, d.h. eine öffentlich-rechtliche Angelegenheit im Sinn von Art. 82 lit. a BGG . Es handelt sich um eine vermögensrechtliche Streitigkeit, weshalb der Ausschlussgrund von Art. 83 lit. g BGG nicht gegeben ist (vgl. auch Urteil 8C_649/2010 vom 1. März 2011 E. 1.1). Die Streitwertgrenze von Fr. 15'000.- ( Art. 51 Abs. 1 lit. a, Art. 85 Abs. 1 lit. b BGG ; erwähntes Urteil 8C_649/2010 E. 1.2) ist erreicht (Streitwertangabe in der Rechtsmittelbelehrung des Entscheids vom 25. November 2011).</w:t>
      </w:r>
    </w:p>
    <w:p>
      <w:r>
        <w:rPr>
          <w:b/>
        </w:rPr>
        <w:t>E. 2</w:t>
      </w:r>
    </w:p>
    <w:p>
      <w:r>
        <w:t>Streitig und zu prüfen ist, ob die Vorinstanz Bundesrecht verletzte, als sie nicht auf das Revisionsgesuch des Beschwerdeführers gegen ihren Entscheid vom 25. November 2011 eingetreten ist.</w:t>
      </w:r>
    </w:p>
    <w:p>
      <w:r>
        <w:rPr>
          <w:b/>
        </w:rPr>
        <w:t>E. 3</w:t>
      </w:r>
    </w:p>
    <w:p>
      <w:r>
        <w:t>Mit der Beschwerde kann gemäss Art. 95 BGG die Verletzung von Bundesrecht, Völkerrecht, kantonalen verfassungsmässigen Rechten, kantonalen Bestimmungen über die politische Stimmberechtigung der Bürger und Bürgerinnen und über Volkswahlen und -abstimmungen und interkantonalem Recht gerügt werden. Der Beschwerdeführer hat zudem nach Art. 42 Abs. 2 BGG in der Begründung der Beschwerde darzulegen, inwiefern der angefochtene Akt Recht verletzt.</w:t>
      </w:r>
    </w:p>
    <w:p>
      <w:r>
        <w:rPr>
          <w:b/>
        </w:rPr>
        <w:t>E. 4</w:t>
      </w:r>
    </w:p>
    <w:p>
      <w:r>
        <w:t>Aus der Beschwerde geht nicht klar hervor, inwiefern einer der in Art. 95 BGG genannten Beschwerdegründe gegeben sein sollte. Insofern der Beschwerdeführer sinngemäss eine willkürliche und damit bundesrechtswidrige Anwendung von Art. 95 lit. a des kantonalen VRPG rügt, kann seinem Vorbringen nicht gefolgt werden: Gemäss dieser Norm wird ein Entscheid einer Verwaltungsjustizbehörde auf Gesuch hin abgeändert oder aufgehoben, wenn ein Strafverfahren ergeben hat, dass durch ein Verbrechen oder Vergehen zum Nachteil der Partei auf den Entscheid eingewirkt wurde; ist das Strafverfahren nicht durchführbar, so kann der Beweis auf andere Weise erbracht werden. Ob die kantonalen Behörden gehalten gewesen wären, das Revisionsgesuch vom 23. Dezember 2011 auch als Strafanzeige zu behandeln, ist nicht im vorliegenden Verfahren zu beurteilen. Selbst wenn die Frage zu bejahen wäre, so wäre die Auslegung des kantonalen Gerichts, das Einreichen einer Strafanzeige nicht gleich zu behandeln wie den Abschluss eines Strafverfahrens, nicht willkürlich. Dass ein Strafverfahren nicht durchführbar wäre, macht der Beschwerdeführer zu Recht nicht geltend. Somit konnte die Vorinstanz, ohne gegen Bundesrecht zu verstossen, davon ausgehen, der Beschwerdeführer habe sein Revisionsgesuch nicht hinreichend substantiiert; wenn das kantonale Gericht daher erneut nicht auf dieses Gesuch eingetreten ist, so ist dies bundesrechtlich nicht zu beanstanden. Die Beschwerde ist demnach abzuweisen, soweit auf sie einzutreten ist.</w:t>
      </w:r>
    </w:p>
    <w:p>
      <w:r>
        <w:rPr>
          <w:b/>
        </w:rPr>
        <w:t>E. 5</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