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70/2009 vom 31. Juli 2009</w:t>
      </w:r>
    </w:p>
    <w:p>
      <w:r>
        <w:t>Bundesgericht, 2009-07-31, DE</w:t>
      </w:r>
    </w:p>
    <w:p>
      <w:r>
        <w:rPr>
          <w:b/>
        </w:rPr>
        <w:t xml:space="preserve">Quelle: </w:t>
      </w:r>
      <w:r>
        <w:t>https://mcp.opencaselaw.ch/entscheid/bger_8C_70_2009</w:t>
      </w:r>
    </w:p>
    <w:p>
      <w:r>
        <w:t>FR: TF 8C 70/2009 du 31 juillet 2009</w:t>
      </w:r>
    </w:p>
    <w:p>
      <w:r>
        <w:t>IT: TF 8C 70/2009 del 31 luglio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8C_934/2008 vom 17. März 2009 E. 1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10. Januar 2003 über den 31. Mai 2007 hinaus Anspruch auf Leistungen der obligatorischen Unfallversicherung hat. Die Rechtsgrundlagen für die Beurteilung der Streitsache sind im angefochtenen Entscheid zutreffend dargelegt. Das betrifft namentlich die für einen Leistungsanspruch im Grundfall und bei Rückfällen erforderlichen kausalen Zusammenhänge mit den sich jeweils stellenden Beweisfragen.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zunächst erwogen, dass keine organisch objektiv ausgewiesene Folge des Unfalles vom 10. Januar 2003 besteht, welche die persistierenden Beschwerden zu erklären vermöchte. Diese Beurteilung ist nach Lage der Akten richtig und auch nicht umstritten. Liegt keine solche Unfallfolge vor, schliesst das zwar die natürliche Unfallkausalität der bestehenden Beschwerden nicht aus. Anders als bei einem klaren unfallbedingten organischen Korrelat kann der adäquate Kausalzusammenhang aber nicht ohne besondere Prüfung bejaht werden (E. 2 hievor). Ergibt sich hiebei, dass es an der Adäquanz fehlt, erübrigen sich auch Weiterungen zur natürlichen Kausalität (vgl. SVR 1995 UV Nr. 23 S. 67 E. 3c [U 183/93]; Urteil 8C_42/2007 vom 14. April 2008 E. 2 mit Hinweisen). Unfallversicherer und Vorinstanz haben die Adäquanz geprüft und verneint.</w:t>
      </w:r>
    </w:p>
    <w:p>
      <w:r>
        <w:rPr>
          <w:b/>
        </w:rPr>
        <w:t>E. 3.1</w:t>
      </w:r>
    </w:p>
    <w:p>
      <w:r>
        <w:t>Die Beschwerdeführerin wendet zunächst ein, es sei zu früh die Adäquanz geprüft und gestützt darauf der Fall abgeschlossen worden.</w:t>
      </w:r>
    </w:p>
    <w:p>
      <w:r>
        <w:rPr>
          <w:b/>
        </w:rPr>
        <w:t>E. 3.1.1</w:t>
      </w:r>
    </w:p>
    <w:p>
      <w:r>
        <w:t>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BGE 134 V 109 E. 4.1 S. 112 mit Hinweisen). Ob eine namhafte Besserung noch möglich ist, bestimmt sich insbesondere nach Massgabe der zu erwartenden Steigerung oder Wiederherstellung der Arbeitsfähigkeit, soweit diese unfallbedingt beeinträchtigt ist. Dabei verdeutlicht die Verwendung des Begriffes "namhaft" durch den Gesetzgeber, dass die durch weitere Heilbehandlung zu erwartende Besserung ins Gewicht fallen muss. Unbedeutende Verbesserungen genügen nicht (E. 4.3 S. 115).</w:t>
      </w:r>
    </w:p>
    <w:p>
      <w:r>
        <w:rPr>
          <w:b/>
        </w:rPr>
        <w:t>E. 3.1.2</w:t>
      </w:r>
    </w:p>
    <w:p>
      <w:r>
        <w:t>Eingliederungsmassnahmen der IV stehen im vorliegenden Fall nicht zur Diskussion. Die Beschwerdeführerin macht vielmehr wie schon vorinstanzlich geltend, gemäss dem von der IV eingeholten Gutachten des Begutachtungszentrums X.________ vom 19. März 2008 bestehe eine Arbeitsunfähigkeit von 30 %, welche nur vorübergehender Natur sei. Von der Heilbehandlung könne demnach eine Steigerung der Arbeitsfähigkeit von 30 % erwartet werden, was als namhafte Besserung zu betrachten sei. Eine entsprechende Prognose enthält das Gutachten des Begutachtungszentrums X.________ vom 19. März 2008 indessen nicht. Namentlich wird darin nicht bestätigt, von den empfohlenen Behandlungsmassnahmen sei eine Steigerung der Arbeitsfähigkeit zu erwarten. Dies erscheint auch unwahrscheinlich, raten die Experten doch lediglich "zu aktivierenden physiotherapeutischen Massnahmen mit einem Heimübungsprogramm sowie zur Aufnahme einer leichten sportlichen Tätigkeit, beispielsweise Joga", sowie aus psychiatrischer Sicht "zum Einsatz eines sedierenden Antidepressivums auf die Nacht anstelle des Hypnotikums". Es finden sich auch in den übrigen medizinischen Akten keine Anhaltspunkte dafür, dass weitere Heilbehandlung über den 31. Mai 2007 hinaus eine namhafte Besserung erwarten liess. Damit kann offenbleiben, ob die von den Experten des Begutachtungszentrums X.________ empfohlenen Behandlungsmassnahmen überhaupt unfallkausalen Gesundheitsschäden gelten, was die Vorinstanz verneint hat.</w:t>
      </w:r>
    </w:p>
    <w:p>
      <w:r>
        <w:rPr>
          <w:b/>
        </w:rPr>
        <w:t>E. 3.2</w:t>
      </w:r>
    </w:p>
    <w:p>
      <w:r>
        <w:t>Die Allianz hat den adäquaten Kausalzusammenhang nach der Psycho-Praxis geprüft. Die Beschwerdeführerin erachtet die Schleudertrauma-Praxis für massgebend. Welche dieser Auffassungen zutrifft, muss mit dem kantonalen Gericht nicht abschliessend beantwortet werden, wenn die Adäquanz auch nach der Schleudertrauma-Praxis, die in der Regel (vgl. aus jüngster Zeit Urteil 8C_25/2009 vom 12. Juni 2009 E. 4.2 Ingress mit Hinweis) und jedenfalls hier für die versicherte Person günstiger ist als die Psycho-Praxis, zu verneinen ist. Das gilt es zu prüfen.</w:t>
      </w:r>
    </w:p>
    <w:p>
      <w:r>
        <w:rPr>
          <w:b/>
        </w:rPr>
        <w:t>E. 3.2.1</w:t>
      </w:r>
    </w:p>
    <w:p>
      <w:r>
        <w:t>Ausgangspunkt der Adäquanzbeurteilung bildet das (objektiv erfassbare) Unfallereignis.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E. 5.2 und 5.3.1 [U 2, 3 und 4/07]; Urteil 8C_536/2007 vom 11. Juni 2008 E. 6.1). Das kantonale Gericht hat die Kollision vom 10. Januar 2003 bei den Unfällen im mittelschweren Bereich und dort nicht nahe den schweren oder den leichten Unfällen eingestuft. Diese Beurteilung ist nicht zu beanstanden. Entgegen der in der Beschwerde vertretenen Auffassung liegt kein schwererer Unfall im mittleren Bereich vor. Als Unfälle mit diesem Schweregrad werden regelmässig nur Ereignisse qualifiziert, die mit markant höheren Krafteinwirkungen verbunden sind (vgl. RKUV 2005 Nr. U 555 S. 322 E. 3.4.1 [U 458/04] und Nr. U 548 S. 228 E. 3.2.2 [U 306/04]; Urteil 8C_609/2007 vom 22. August 2008 E. 4.1.3, je mit Hinweisen).</w:t>
      </w:r>
    </w:p>
    <w:p>
      <w:r>
        <w:rPr>
          <w:b/>
        </w:rPr>
        <w:t>E. 3.2.2</w:t>
      </w:r>
    </w:p>
    <w:p>
      <w:r>
        <w:t>Von den weiteren massgeblichen Kriterien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vgl. BGE 134 V 109 E. 10.3 S. 130) müssten demnach für eine Bejahung des adäquaten Kausalzusammenhanges entweder ein einzelnes in besonders ausgeprägter Weise oder aber mehrere in gehäufter oder auffallender Weise gegeben sein ( BGE 134 V 109 E. 10.1 S. 126 f.; 117 V 359 E. 6 S. 367 f.). Das kantonale Gericht ist zum Ergebnis gelangt, es seien einzig und nicht in besonders ausgeprägter Weise die beiden Kriterien der erheblichen Beschwerden und der erheblichen Arbeitsunfähigkeit trotz ausgewiesener Anstrengungen erfüllt. Nach Auffassung der Beschwerdeführerin ist zudem von einer besonderen Eindrücklichkeit des Unfalls und von einer besonderen Art der erlittenen Verletzung auszugehen. Zudem sei das Kriterium der Arbeitsunfähigkeit in besonders ausgeprägter Weise erfüllt. Die weiteren adäquanzrelevanten Kriterien werden, nach Lage der Akten zu Recht, nicht geltend gemacht.</w:t>
      </w:r>
    </w:p>
    <w:p>
      <w:r>
        <w:rPr>
          <w:b/>
        </w:rPr>
        <w:t>E. 3.2.3</w:t>
      </w:r>
    </w:p>
    <w:p>
      <w:r>
        <w:t>Der Frontalkollision vom 10. Januar 2003 kann eine gewisse Eindrücklichkeit nicht abgesprochen werden. Als besonders ist diese aber bei der gebotenen objektiven Betrachtungsweise und im Lichte der Praxis zu vergleichbaren oder prägnanteren Unfällen (zum Ganzen: Urteil 8C_467/2008 vom 4. November 2008 E. 6.2.1 mit Hinweisen; vgl. auch Urteil 8C_609/2007 vom 22. August 2008 Sachverhalt A und E. 4.2.1) nicht zu betrachten. Daran ändert entgegen der in der Beschwerde vertretenen Auffassung nichts, dass die Versicherte aufgrund der nach vorne geneigten Kopfstellung nicht auf den Unfall vorbereitet war und wegen des sich beim Ereignis öffnenden Airbags nichts sehen konnte und dass die beteiligten Fahrzeuge erst im an die Strasse grenzenden Wiesland zum Stillstand kamen. Das Kriterium ist daher nicht erfüllt. Zur Bejahung des Kriteriums der Schwere oder besonderen Art der erlittenen Verletzungen bedarf es einer besonderen Schwere der für das Schleudertrauma typischen Beschwerden oder - was hier zur Diskussion gestellt wird - besonderer Umstände, welche das Beschwerdebild beeinflussen können. Diese können beispielsweise in einer beim Unfall eingenommenen besonderen Körperhaltung und den dadurch bewirkten Komplikationen bestehen ( BGE 134 V 109 E. 10.2.2 S. 128 mit Hinweisen). Im vorliegenden Fall wird geltend gemacht, die Versicherte habe den Kopf nach unten gehalten, weil sie die Autoscheibe habe herunterlassen wollen. Dies genügt jedoch unter den konkreten Umständen nicht, um das Kriterium bejahen zu können (vgl. Urteil 8C_598/2008 vom 8. April 2009 E. 3.2.2), zumal keine Anhaltspunkte dafür bestehen, dass diese Kopfstellung zu Komplikationen geführt hätte. Andere Umstände, welche gegebenenfalls die Bejahung des Kriteriums gestatten könnten, werden nicht geltend gemacht. Das kantonale Gericht hat das Kriterium der Arbeitsunfähigkeit namentlich aufgrund der von der Versicherten gezeigten Anstrengungen, sich wieder optimal in den Arbeitsprozess einzugliedern, bejaht. Es ist aber zum Ergebnis gelangt, in besonders ausgeprägter Weise liege das Kriterium nicht vor. Diese Beurteilung ist entgegen der in der Beschwerde vertretenen Auffassung nicht zu beanstanden, zumal schon kurz nach dem Unfall vom 10. Januar 2003 und während mehr als einem Jahr wieder eine volle Arbeitsfähigkeit bestand. Ob das Kriterium überhaupt in der einfachen Form vorliegt, braucht, genauso wie beim von der Vorinstanz ebenfalls als erfüllt betrachteten Kriterium der erheblichen Beschwerden, nicht abschliessend beantwortet zu werden. Denn auch bejahendenfalls wäre mit zwei Kriterien der adäquate Kausalzusammenhang nicht gegeben. Das kantonale Gericht hat demnach einen weiteren Leistungsanspruch zu Recht verneint.</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