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709/2009 vom 30. September 2009</w:t>
      </w:r>
    </w:p>
    <w:p>
      <w:r>
        <w:t>Bundesgericht, 2009-09-30, DE</w:t>
      </w:r>
    </w:p>
    <w:p>
      <w:r>
        <w:rPr>
          <w:b/>
        </w:rPr>
        <w:t xml:space="preserve">Quelle: </w:t>
      </w:r>
      <w:r>
        <w:t>https://mcp.opencaselaw.ch/entscheid/bger_8C_709_2009</w:t>
      </w:r>
    </w:p>
    <w:p>
      <w:r>
        <w:t>FR: TF 8C 709/2009 du 30 septembre 2009</w:t>
      </w:r>
    </w:p>
    <w:p>
      <w:r>
        <w:t>IT: TF 8C 709/2009 del 30 settembre 2009</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2.1</w:t>
      </w:r>
    </w:p>
    <w:p>
      <w:r>
        <w:t>Gemäss Art. 42 Abs. 1 BGG hat ein Rechtsmittel unter anderem die Begehren und deren Begründung mit Angabe der Beweismittel zu enthalten, wobei im Rahmen der Begründung in gedrängter Form darzulegen ist, inwiefern der angefochtene Entscheid Recht verletzt ( Art. 42 Abs. 2 BGG ). Genügt die Beschwerdeschrift diesen Begründungsanforderungen nicht, so ist darauf nicht einzutreten. Zwar wendet das Bundesgericht das Recht grundsätzlich von Amtes wegen an ( Art. 106 Abs. 1 BGG ); dies setzt aber voraus, dass auf die Beschwerde überhaupt eingetreten werden kann ( BGE 134 II 244 E. 2.1 S. 245 mit weiteren Hinweisen).</w:t>
      </w:r>
    </w:p>
    <w:p>
      <w:r>
        <w:rPr>
          <w:b/>
        </w:rPr>
        <w:t>E. 2.2</w:t>
      </w:r>
    </w:p>
    <w:p>
      <w:r>
        <w:t>Die Eingabe des Beschwerdeführers vom 3. September 2009 genügt diesen Mindestanforderungen insofern nicht, als sie sich nicht in hinreichender Weise mit den entscheidenden Erwägungen der Vorinstanz auseinandersetzt und den mit der Beschwerde im kantonalen Verfahren praktisch identischen Ausführungen nicht entnommen werden kann, inwiefern die vorinstanzlichen Sachverhaltsfeststellungen unzutreffend und die darauf beruhenden Erwägungen rechtsfehlerhaft sein sollen. Das Ansetzen einer Nachfrist zur Verbesserung der mangelhaften Rechtsschrift im Sinne von Art. 42 Abs. 1 und 2 BGG - im Gegensatz zur Nachreichung der fehlenden Beilagen ( Art. 42 Abs. 5 und 6 BGG ; vgl. BGE 130 I 312 E. 1.3.1 S. 320; 123 II 359 E. 6b/bb S. 369; 118 Ib 134 E. 2; je mit Hinweis) - fällt ausser Betracht ( BGE 134 II 244 E. 2.4.2 S. 247 f. mit weiteren Hinweisen). Auf die Beschwerde ist demnach insoweit nicht einzutreten.</w:t>
      </w:r>
    </w:p>
    <w:p>
      <w:r>
        <w:rPr>
          <w:b/>
        </w:rPr>
        <w:t>E. 3</w:t>
      </w:r>
    </w:p>
    <w:p>
      <w:r>
        <w:t>Im vorinstanzlichen Entscheid werden die gesetzlichen Bestimmungen über den Anspruch auf Insolvenzentschädigung ( Art. 51 Abs. 1 AVIG ), den Umfang des Anspruchs ( Art. 52 Abs. 1 AVIG ) sowie über die Pflichten des Arbeitnehmers im Konkurs- oder Pfändungsverfahren ( Art. 55 Abs. 1 AVIG ; BGE 114 V 56 E. 3d S. 59; ARV 2002 Nr. 8 S. 62 ff. und Nr. 30 S. 190 ff., 1999 Nr. 24 S. 140 ff.) zutreffend dargelegt. Darauf wird verwiesen.</w:t>
      </w:r>
    </w:p>
    <w:p>
      <w:r>
        <w:rPr>
          <w:b/>
        </w:rPr>
        <w:t>E. 4</w:t>
      </w:r>
    </w:p>
    <w:p>
      <w:r>
        <w:t>Der Beschwerdeführer setzt sich einzig mit dem vorinstanzlichen Argument auseinander, die Vorinstanz habe insofern Bundesrecht verletzt als sie Art. 55 Abs. 2 AVIG falsch angewendet und die Pflichten eines Arbeitnehmenden vor dem Konkursverfahren des ehemaligen Arbeitgebers unverhältnismässig streng ausgelegt habe.</w:t>
      </w:r>
    </w:p>
    <w:p>
      <w:r>
        <w:rPr>
          <w:b/>
        </w:rPr>
        <w:t>E. 4.1</w:t>
      </w:r>
    </w:p>
    <w:p>
      <w:r>
        <w:t>Das Verwaltungsgericht des Kantons Thurgau hat in letztinstanzlich verbindlicher Weise (vgl. E. 1) festgestellt, dass der Beschwerdeführer bis zum 8. September 2006 gearbeitet hat und der Lohn letztmals für den Monat Juli 2006 ausbezahlt worden sei. In der Folge habe er sich zwar bereits ab 6. September 2006 von der Gewerkschaft Unia vertreten lassen, jedoch seien weder von ihm selbst, noch von der Rechtsvertreterin dokumentierte und zielgerichtete Schritte unternommen worden, um die noch offene Lohnforderung gegenüber dem Arbeitgeber geltend zu machen. Eine Betreibung sei erst im August 2007, also ein Jahr nach der letzten Lohnzahlung, eingeleitet worden.</w:t>
      </w:r>
    </w:p>
    <w:p>
      <w:r>
        <w:rPr>
          <w:b/>
        </w:rPr>
        <w:t>E. 4.2</w:t>
      </w:r>
    </w:p>
    <w:p>
      <w:r>
        <w:t>Indem im Entscheid vom 12. August 2009 auf Grund der dargelegten Sachverhaltselemente in rechtlicher Hinsicht gefolgert wurde, der Beschwerdeführer habe gegenüber der Arbeitslosenversicherung seine Schadenminderungspflicht gemäss Art. 55 Abs. 2 AVIG derart verletzt, dass er keinen Anspruch auf Insolvenzentschädigung habe, entspricht die Vorinstanz der höchstrichterlichen Rechtsprechung über diesen Tatbestand. Von einer unverhältnismässigen oder sonstwie unzutreffenden Auslegung kann nicht gesprochen werden. Zudem setzt sich der Beschwerdeführer in seiner Rechtsschrift auch nicht mit der geltenden Rechtsprechung auseinander und legt keine Gründe dar, weshalb daran nicht festzuhalten sei oder inwiefern der kantonale Entscheid der geltenden Praxis widerspreche.</w:t>
      </w:r>
    </w:p>
    <w:p>
      <w:r>
        <w:rPr>
          <w:b/>
        </w:rPr>
        <w:t>E. 5</w:t>
      </w:r>
    </w:p>
    <w:p>
      <w:r>
        <w:t>Die Beschwerde ist, soweit darauf einzutreten ist, offensichtlich unbegründet, weshalb sie im Verfahren nach Art. 109 BGG , insbesondere ohne Durchführung eines Schriftenwechsels und mit summarischer Begründung, erledigt wird.</w:t>
      </w:r>
    </w:p>
    <w:p>
      <w:r>
        <w:rPr>
          <w:b/>
        </w:rPr>
        <w:t>E. 6</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