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8C_708/2018 vom 26. März 2019</w:t>
      </w:r>
    </w:p>
    <w:p>
      <w:r>
        <w:t>Bundesgericht, 2019-03-26, DE</w:t>
      </w:r>
    </w:p>
    <w:p>
      <w:r>
        <w:rPr>
          <w:b/>
        </w:rPr>
        <w:t xml:space="preserve">Quelle: </w:t>
      </w:r>
      <w:r>
        <w:t>https://mcp.opencaselaw.ch/entscheid/bger_8C_708_2018</w:t>
      </w:r>
    </w:p>
    <w:p>
      <w:r>
        <w:t>FR: TF 8C_708/2018 du 26 mars 2019</w:t>
      </w:r>
    </w:p>
    <w:p>
      <w:r>
        <w:t>IT: TF 8C_708/2018 del 26 marzo 2019</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untersucht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 Urteil 8C_648/2018 vom 7. Januar 2019 E. 1.1).</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140 III 115 E. 2).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1.3</w:t>
      </w:r>
    </w:p>
    <w:p>
      <w:r>
        <w:t>Die Beschwerde führende Partei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 Urteil 8C_216/2018 vom 3. Oktober 2018 E. 1.2).</w:t>
      </w:r>
    </w:p>
    <w:p>
      <w:r>
        <w:rPr>
          <w:b/>
        </w:rPr>
        <w:t>E. 1.4</w:t>
      </w:r>
    </w:p>
    <w:p>
      <w:r>
        <w:t>Die Rügen und ihre Begründung müssen in der Beschwerdeschrift selber enthalten sein. Der blosse Verweis auf Ausführungen in anderen Rechtsschriften oder auf die Akten genügt nicht ( BGE 133 II 396 E. 3.2 S. 400 mit Hinweisen; 141 V 416 E. 4 S. 421; LAURENT MERZ, in: Niggli/Uebersax/Wiprächtiger/Kneubühler [Hrsg.], Basler Kommentar BGG, 3. Aufl. 2018, N. 56 zu Art. 42 BGG ). Soweit die Beschwerdeführer zur Begründung auf den Inhalt ihrer Ausführungen in den kantonalen Verfahren verweisen, ist darauf nicht weiter einzugehen (Urteil 2C_782/2018 vom 21. Januar 2019 E. 2.1 i.f.).</w:t>
      </w:r>
    </w:p>
    <w:p>
      <w:r>
        <w:rPr>
          <w:b/>
        </w:rPr>
        <w:t>E. 1.5</w:t>
      </w:r>
    </w:p>
    <w:p>
      <w:r>
        <w:t>Zur Sachverhaltsfeststellung gehört auch die auf Indizien gestützte Beweiswürdigung (Urteil 2C_595/2017 vom 13. April 2018 E. 2.2). Soweit die Beschwerdeführer den angefochtenen Entscheid bloss appellatorisch beanstanden - d.h. lediglich ihre Sicht der Dinge, derjenigen der Vorinstanz gegenüberstellt, ohne darzulegen, inwiefern diese die Beweise in Verletzung von Art. 9 BV (Willkür) gewürdigt oder anderweitig Bundesrecht verletzt hätte - ist ihre Eingabe ungenügend substanziiert (MERZ, a.a.O., N. 53 zu Art. 42 BGG ; Urteil 2C_782/2018 vom 21. Januar 2019 E. 2.2 i.f.).</w:t>
      </w:r>
    </w:p>
    <w:p>
      <w:r>
        <w:rPr>
          <w:b/>
        </w:rPr>
        <w:t>E. 2.1</w:t>
      </w:r>
    </w:p>
    <w:p>
      <w:r>
        <w:t>Vorweg rügen die Beschwerdeführer eine Verletzung des Anspruchs auf rechtliches Gehör. Vor Bundesgericht wiederholen sie unter Ziff. 8-28 S. 7-17, unter Ziff. 30-38 S. 18-23 sowie unter Ziff. 40-60 S. 24-33 ihrer Beschwerdeschrift wortwörtlich ihre entsprechenden Ausführungen im vorinstanzlichen Verfahren und beanstanden im Anschluss an diese Passagen, die Vorinstanz habe sich damit nicht (genügend) auseinander gesetzt und damit die Begründungspflicht verletzt.</w:t>
      </w:r>
    </w:p>
    <w:p>
      <w:r>
        <w:rPr>
          <w:b/>
        </w:rPr>
        <w:t>E. 2.2</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Die Beschwerdeführer legen nicht dar und es ist nicht ersichtlich, dass der vorinstanzliche Entscheid infolge einer ungenügenden Begründung nicht sachgerecht anfechtbar gewesen wäre. Vielmehr ist dem kantonalen Entscheid mit hinreichender Klarheit zu entnehmen, weshalb die Vorinstanz bestätigte, dass die Hilflosenentschädigung der in der Familienwohnung von den Beschwerdeführern gepflegten und betreuten Tochter bei der Bemessung der ihnen zustehenden Sozialhilfeleistung als Einnahme anzurechnen ist.</w:t>
      </w:r>
    </w:p>
    <w:p>
      <w:r>
        <w:rPr>
          <w:b/>
        </w:rPr>
        <w:t>E. 2.4</w:t>
      </w:r>
    </w:p>
    <w:p>
      <w:r>
        <w:t>Soweit sich die Beschwerdeführer vor Bundesgericht mit der Wiederholung ihrer vorinstanzlichen Ausführungen (vgl. E. 2.1 hievor) und dem Verweis auf ihre Beschwerdeschrift vor kantonalem Gericht begnügen, fehlt es an einer hinreichenden Begründung der Beschwerde (Art. 42 Abs. 1 f. BGG; BGE 140 III 115 E. 2 S. 116; 134 II 244 E. 2.1 245 f.). Insoweit ist auf die Beschwerde nicht weiter einzugehen.</w:t>
      </w:r>
    </w:p>
    <w:p>
      <w:r>
        <w:rPr>
          <w:b/>
        </w:rPr>
        <w:t>E. 3.1</w:t>
      </w:r>
    </w:p>
    <w:p>
      <w:r>
        <w:t>Die volljährige Tochter der Beschwerdeführer ist geistig schwer behindert, lebt gemäss angefochtenem Entscheid im gemeinsamen Familienhaushalt der Beschwerdeführer und bezieht eine ganze Invalidenrente, Ergänzungsleistungen und Hilflosenentschädigung. Sie ist nicht sozialhilfebedürftig. Die Beschwerdeführer und ihre gemeinsame Tochter bilden keine Unterstützungseinheit. Nach unbestrittener vorinstanzlicher Sachverhaltsfeststellung erbringen die Beschwerdeführer die notwendigen Pflege- und Betreuungsleistungen für ihre Tochter, ohne dass solche Leistungen extern eingekauft werden müssten. Ohne Pflege und Betreuung der Tochter durch die Beschwerdeführer müsste Erstere in einem Pflegeheim untergebracht werden.</w:t>
      </w:r>
    </w:p>
    <w:p>
      <w:r>
        <w:rPr>
          <w:b/>
        </w:rPr>
        <w:t>E. 3.2</w:t>
      </w:r>
    </w:p>
    <w:p>
      <w:r>
        <w:t>Strittig ist demgegenüber, ob die Vorinstanz Bundesrecht verletzte, indem sie die von der Beschwerdegegnerin am 14. April 2016 verfügte und vom BRZ bestätigte Anrechnung von Fr. 1'880.- aus der Hilflosenentschädigung der Tochter im monatlichen Unterstützungsbudget der Beschwerdeführer ab 1. Oktober 2015 geschützt hat.</w:t>
      </w:r>
    </w:p>
    <w:p>
      <w:r>
        <w:rPr>
          <w:b/>
        </w:rPr>
        <w:t>E. 4.1</w:t>
      </w:r>
    </w:p>
    <w:p>
      <w:r>
        <w:t>Das kantonale Gericht hat die massgebliche Rechtslage (so insbesondere § 14 des Sozialhilfegesetzes des Kantons Zürich vom 14. Juni 1981 [SHG/ZH; LS 851.1] in Verbindung mit § 16 der Sozialhilfeverordnung des Kantons Zürich vom 21. Oktober 1981 [SHV/ZH; LS 851.11] sowie die Richtlinien für die Ausgestaltung und Bemessung der Sozialhilfe der Schweizerischen Konferenz für Sozialhilfe [SKOS-Richtlinien]) zutreffend dargestellt. Darauf wird verwiesen.</w:t>
      </w:r>
    </w:p>
    <w:p>
      <w:r>
        <w:rPr>
          <w:b/>
        </w:rPr>
        <w:t>E. 4.2</w:t>
      </w:r>
    </w:p>
    <w:p>
      <w:r>
        <w:t>Ergänzend ist darauf hinzuweisen, dass die Sozialhilfe vom Subsidiaritätsprinzip beherrscht wird ( BGE 141 I 153 E. 4.2 S. 156). So werden bei der Bemessung der Sozialhilfe nach § 2 Abs. 2 SHG/ZH andere gesetzliche Leistungen sowie Leistungen Dritter und sozialer Institutionen berücksichtigt.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 BGE 141 I 153 E. 4.2 S. 156; vgl. dazu CLAUDIA HÄNZI, Die Richtlinien der schweizerischen Konferenz für Sozialhilfe, 2011, S. 114 f.; CHRISTOPH HÄFELI, Prinzipien der Sozialhilfe, in: Das Schweizerische Sozialhilferecht, 2008, S. 73 ff.).</w:t>
      </w:r>
    </w:p>
    <w:p>
      <w:r>
        <w:rPr>
          <w:b/>
        </w:rPr>
        <w:t>E. 4.3</w:t>
      </w:r>
    </w:p>
    <w:p>
      <w:r>
        <w:t>Die in einer familienähnlichen Gemeinschaft zusammenlebenden Personen werden in der Regel nicht als Unterstützungseinheit erfasst (SKOS-Richtlinien vom April 2005 [4. überarbeitete Ausgabe] in der ab 1. Januar 2013 geltenden Fassung, Kapitel F.5.1). Leben die Partner jedoch in einem stabilen Konkubinat und wird nur eine Person unterstützt, dürfen Einkommen und Vermögen des nicht unterstützten Konkubinatspartners angemessen berücksichtigt werden ( BGE 141 I 153 E. 4.3 S. 157). Ist praxisgemäss das gesamte Netto-Erwerbseinkommen aus selbstständiger oder unselbstständiger Erwerbstätigkeit des nicht bedürftigen Konkubinatspartners anrechenbar, sind auch sämtliche Ersatzeinkommen wie AHV- und IV-Renten, Ergänzungsleistungen, Arbeitslosenunterstützung oder andere Taggelder von Versicherungen anzurechnen. Dies ist Folge einer konsequenten Anwendung des Subsidiaritätsgrundsatzes als Ausdruck der Eigenverantwortung, wonach zunächst alle anderen Möglichkeiten auszuschöpfen sind ( BGE 142 V 513 E. 5.2.1 S. 517 f.; RUDOLF URSPRUNG/DOROTHEA RIEDI, Verfahrensgrundsätze und Grundrechtsbeschränkungen in der Sozialhilfe, in: ZBl 116/2015, S. 403 ff., insbes. S. 406). Führt eine unterstützte Person innerhalb einer Haushaltsgemeinschaft den Haushalt für Personen, die nicht unterstützt werden (berufstätige Kinder, Eltern, Partner), so wird gemäss SKOS-Richtlinien beim Unterstützungsbudget eine Haushaltsführungsentschädigung als Einkommen angerechnet (Peter Mösch Payot, Sozialhilfe, in: Steiger-Sackmann/Mosimann [Hrsg.], Recht der Sozialen Sicherheit, 2014, Rz. 39.107; vgl. auch § 16 Abs. 4 SHV/ZH). Nach konstanter Rechtsprechung hängt die Anrechnung nicht vom Zahlungswillen des profitierenden Hausgenossen ab (vgl. BGE 142 V 513 E. 4.1 i.f. S. 516 und Urteil 2P.158/2006 vom 1. September 2006 E. 3.3, je mit Hinweis).</w:t>
      </w:r>
    </w:p>
    <w:p>
      <w:r>
        <w:rPr>
          <w:b/>
        </w:rPr>
        <w:t>E. 4.4</w:t>
      </w:r>
    </w:p>
    <w:p>
      <w:r>
        <w:t>Die Hilflosenentschädigung verfolgt den gesetzlichen Zweck, die mit der Hilflosigkeit verbundenen präsumierten Kosten zu ersetzen. Entschädigt werden somit die behinderungsbedingt anfallenden Mehrkosten. Der Hilflosenentschädigung kommt folglich schadenersatzähnlicher Charakter zu (vgl. ROBERT ETTLIN, Die Hilflosigkeit als versichertes Risiko in der Sozialversicherung, Diss. Freiburg 1998, S. 332 f.), und sie stellt - anders als etwa Renten oder Taggelder, die der Fristung des allgemeinen Lebensunterhalts dienen - nicht Ersatzeinkommen dar. Die Geldleistung wird dem Hilflosen demzufolge im Hinblick auf eine bestimmte Verwendung ausgerichtet und ist in diesem Sinne zweckgebunden. Was die Höhe der Entschädigung anbelangt, so bemisst sie sich - auf der Grundlage des Prinzips der abstrakten Bedarfsdeckung (vgl. ETTLIN, a.a.O S. 333) und damit unabhängig von den effektiv entstandenen Kosten - nach dem Schweregrad der Hilflosigkeit ( Art. 42 Abs. 2 IVG in Verbindung mit Art. 37 IVV : schwere, mittelschwere und leichte Hilflosigkeit). Es erfolgt damit eine pauschalierte Entschädigung der behinderungsbedingten Aufwendungen (Urteil 8C_731/2009 vom 25. Februar 2010 E. 3.1).</w:t>
      </w:r>
    </w:p>
    <w:p>
      <w:r>
        <w:rPr>
          <w:b/>
        </w:rPr>
        <w:t>E. 5.1</w:t>
      </w:r>
    </w:p>
    <w:p>
      <w:r>
        <w:t>Gemäss angefochtenem Entscheid hält die Vorinstanz gestützt auf den BRZ-Entscheid daran fest, dass kein Budget abgeklärt werden müsse, um zu ermitteln, ob die Tochter in der Lage sei, ihre Hilflosenentschädigung ganz oder teilweise an die Beschwerdeführer zu bezahlen. Dem von den Letzteren geltend gemachten Budget für ihre Tochter komme von vornherein keine Aussagekraft zu, da es die Zweckgebundenheit der Hilflosenentschädigung für spezifische Dienstleistungen nicht berücksichtige und offensichtlich auch nicht den tatsächlichen Aufwand der Beschwerdeführer für ihre Tochter adäquat wiedergebe. Die Beschwerdeführer, welche die Vertretungsbeistandschaft mit Vermögensverwaltung für ihre urteilsunfähige Tochter ausüben, würden über deren Einkünfte (Invalidenrente, Zusatzleistungen und Hilflosenentschädigung) verfügen. Die entsprechend von der zuständigen Kindes- und Erwachsenenschutzbehörde (KESB) genehmigten Ausgaben der Tochter würden sich aus den Akten (unter anderem den Rechenschaftsberichten) ergeben. Da die Leistungen, für welche die Hilflosenentschädigung an die Tochter ausgezahlt werde, von den Beschwerde führenden Eltern tatsächlich erbracht würden, sei die Hilflosenentschädigung im Unterstützungsbudget der Beschwerdeführer vollumfänglich anzurechnen.</w:t>
      </w:r>
    </w:p>
    <w:p>
      <w:r>
        <w:rPr>
          <w:b/>
        </w:rPr>
        <w:t>E. 5.2</w:t>
      </w:r>
    </w:p>
    <w:p>
      <w:r>
        <w:t>Das kantonale Gericht hat mit in allen Teilen überzeugender Begründung basierend auf der jedenfalls nicht offensichtlich unrichtigen Sachverhaltsfeststellung zutreffend dargelegt, dass die auf Grund der Hilflosigkeit der Tochter anfallenden Pflege- und Betreuungsarbeiten im Wesentlichen von den Beschwerde führenden Eltern erbracht werden. Die Hilflosenentschädigung bezwecke mittels pauschalierter Entschädigung die abstrakte Bedarfsdeckung der von den Beschwerdeführern für ihre Tochter geleisteten behinderungsbedingten Mehraufwendungen (vgl. E. 4.4 hievor). Dies im Gegensatz zur Invalidenrente und Ergänzungsleistung, welche primär den allgemeinen Lebensunterhalt decken. Ein externer Einkauf von Pflege- und Betreuungsdienstleitungen sei nicht ausgewiesen. Soweit die Tochter extern - in der Stiftung C.________ - Pflege- und Betreuung benötige, trage der Kanton diese Kosten. Andere Fremdbetreuungskosten würden nicht geltend gemacht und seien nicht ersichtlich. Werde eine behinderte, nicht von der Sozialhilfe unterstützte Person (z.B. volljähriges Kind) von einer Sozialhilfe beziehenden Person (z.B. Mutter) gepflegt, sei die Hilflosenentschädigung der behinderten Person in jenem Umfang als Einnahme der Sozialhilfebezügerin anzurechnen, in welchem die Hilflosenentschädigung nicht für den Einkauf von externen Dienstleistungen verwendet wird (Guido Wizent, Die sozialhilferechtliche Bedürftigkeit, Zürich/St. Gallen 2014, S. 429; HEINRICH DUBACHER/BERNADETTE VON DESCHWANDEN, Wie berücksichtigt man die Hilflosenentschädigung, ZESO 2/2006 S. 16).</w:t>
      </w:r>
    </w:p>
    <w:p>
      <w:r>
        <w:rPr>
          <w:b/>
        </w:rPr>
        <w:t>E. 5.3</w:t>
      </w:r>
    </w:p>
    <w:p>
      <w:r>
        <w:t>Was die Beschwerdeführer hiegegen vorbringen, ist unbegründet, soweit sich ihre Einwände nicht auf appellatorische Kritik am angefochtenen Entscheid beschränken (vgl. auch E. 1.3 und 2.4 hievor). Die Vorinstanz hat in vorweggenommener Beweiswürdigung auf die Abnahme von weiteren Beweisen verzichtet. Diesbezüglich kann einzig Willkür gerügt werden (Urteil 8C_649/2017 vom 4. Januar 2018 E. 7.6.3 mit Hinweis auf BGE 136 I 229 E. 5.3 S. 236). Dass die vorinstanzliche antizipierte Beweiswürdigung willkürlich war, vermögen die Beschwerdeführer nicht in rechtsgenüglicher Weise darzulegen. Insbesondere ist nicht ersichtlich, inwiefern das kantonale Gericht bei der Feststellung des rechtserheblichen Sachverhalts den Untersuchungsgrundsatz oder gar das Willkürverbot verletzt haben soll. Die Anrechnung der an die Tochter ausgerichteten Hilflosenentschädigung als Einnahme im Unterstützungsbudget der sie im gemeinsamen Haushalt betreuenden und pflegenden Eltern hängt nicht vom (mutmasslichen) Zahlungswillen der Tochter ab (vgl. hievor E. 4.3 i.f.), zumal die Beschwerdeführer als Beistände über die Verwendung der finanziellen Mittel ihrer urteilsunfähigen pflegebedürftigen Tochter bestimmen (E. 5.1 hievor). Was die Beschwerdeführer im Übrigen (vgl. auch E. 2.4 hievor) gegen den angefochtenen Entscheid vorbringen, beschränkt sich über weite Strecken auf eine von der Vorinstanz abweichende Beweiswürdigung (Urteil 9C_561/2018 vom 8. Februar 2019 E. 5.3.3 mit Hinweisen) resp. (vgl. BGE 140 III 264 E. 2.3 S. 266), was nicht genügt.</w:t>
      </w:r>
    </w:p>
    <w:p>
      <w:r>
        <w:rPr>
          <w:b/>
        </w:rPr>
        <w:t>E. 5.4</w:t>
      </w:r>
    </w:p>
    <w:p>
      <w:r>
        <w:t>Nach dem Gesagten haben Verwaltung und Vorinstanzen unter den gegebenen Umständen die Hilflosenentschädigung der pflegebedürftigen volljährigen Tochter zu Recht vollumfänglich als Einnahme im Sozialhilfebudget der Beschwerdeführer angerechnet. Die vor Bundesgericht erhobenen Einwände der Letzteren ändern nichts daran.</w:t>
      </w:r>
    </w:p>
    <w:p>
      <w:r>
        <w:rPr>
          <w:b/>
        </w:rPr>
        <w:t>E. 6</w:t>
      </w:r>
    </w:p>
    <w:p>
      <w:r>
        <w:t>Das Verfahren ist kostenpflichtig. Die unterliegenden Beschwerdeführer haben die Gerichtskosten zu tragen ( Art. 66 Abs. 1 BGG ).</w:t>
      </w:r>
    </w:p>
    <w:p>
      <w:r>
        <w:t>Ihrem Gesuch um Bewilligung der unentgeltlichen Rechtspflege für das bundesgerichtliche Verfahren ist stattzugeben, da die Bedürftigkeit aktenkundig, die Beschwerde nicht als aussichtslos zu bezeichnen und die Verbeiständung durch den Anwalt geboten war ( Art. 64 Abs. 1-3 BGG ). Sie werden indessen auf Art. 64 Abs. 4 BGG hingewiesen, danach haben sie der Bundesgerichtskasse Ersatz zu leisten, wenn sie später dazu in der Lage sind.</w:t>
      </w:r>
    </w:p>
    <w:p>
      <w:r>
        <w:t>Das Verfahren ist kostenpflichtig. Die unterliegenden Beschwerdeführer haben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