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8C_707/2024 vom 28. Januar 2025</w:t>
      </w:r>
    </w:p>
    <w:p>
      <w:r>
        <w:t>Bundesgericht, 2025-01-28, FR</w:t>
      </w:r>
    </w:p>
    <w:p>
      <w:r>
        <w:rPr>
          <w:b/>
        </w:rPr>
        <w:t xml:space="preserve">Quelle: </w:t>
      </w:r>
      <w:r>
        <w:t>https://mcp.opencaselaw.ch/entscheid/bger_8C_707_2024</w:t>
      </w:r>
    </w:p>
    <w:p>
      <w:r>
        <w:t>FR: TF 8C_707/2024 du 28 janvier 2025</w:t>
      </w:r>
    </w:p>
    <w:p>
      <w:r>
        <w:t>IT: TF 8C_707/2024 del 28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108 al. 1 let. b LTF , le président de la Cour décide en procédure simplifiée de ne pas entrer en matière sur les recours dont la motivation est manifestement insuffisante ( art. 42 al. 2 LTF ). Il peut confier cette tâche à un autre juge ( art. 108 al. 2 LTF ).</w:t>
      </w:r>
    </w:p>
    <w:p>
      <w:r>
        <w:rPr>
          <w:b/>
        </w:rPr>
        <w:t>E. 2.1</w:t>
      </w:r>
    </w:p>
    <w:p>
      <w:r>
        <w:t>En vertu de l' art. 42 al. 1 et 2 LTF , les mémoires de recours doivent indiquer les conclusions - lesquelles doivent exprimer sur quels points la décision entreprise doit être modifiée et dans quel sens - ainsi que les motifs. Conformément à l' art. 42 al. 2 LTF , les motifs doivent exposer succinctement en quoi l'acte attaqué viole le droit. Pour satisfaire à cette exigence, il appartient au recourant de discuter au moins brièvement les considérants de la décision litigieuse et d'expliquer en quoi ceux-ci seraient contraires au droit ( ATF 148 IV 205 consid. 2.6; 146 IV 297 consid. 1.2).</w:t>
      </w:r>
    </w:p>
    <w:p>
      <w:r>
        <w:rPr>
          <w:b/>
        </w:rPr>
        <w:t>E. 2.2</w:t>
      </w:r>
    </w:p>
    <w:p>
      <w:r>
        <w:t>Dans ses écritures, le recourant se limite pour l'essentiel à exposer, de manière confuse et difficilement compréhensible, toute une série de faits en lien notamment avec sa situation médicale et personnelle. Ce faisant, il ne développe aucune argumentation répondant à la motivation des premiers juges. Le recourant ne prend en outre aucune conclusion. Partant, le recours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Au regard des circonstances, il convient de renoncer exceptionnellement à percevoir des frais judiciaires ( art. 66 al. 1, seconde phrase, LTF ). 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