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706/2022 vom 5. Dezember 2023</w:t>
      </w:r>
    </w:p>
    <w:p>
      <w:r>
        <w:t>Bundesgericht, 2023-12-05, FR</w:t>
      </w:r>
    </w:p>
    <w:p>
      <w:r>
        <w:rPr>
          <w:b/>
        </w:rPr>
        <w:t xml:space="preserve">Quelle: </w:t>
      </w:r>
      <w:r>
        <w:t>https://mcp.opencaselaw.ch/entscheid/bger_8C_706_2022</w:t>
      </w:r>
    </w:p>
    <w:p>
      <w:r>
        <w:t>FR: TF 8C 706/2022 du 5 décembre 2023</w:t>
      </w:r>
    </w:p>
    <w:p>
      <w:r>
        <w:t>IT: TF 8C 706/2022 del 5 dicembre 2023</w:t>
      </w:r>
    </w:p>
    <w:p>
      <w:pPr>
        <w:pStyle w:val="Heading2"/>
      </w:pPr>
      <w:r>
        <w:t>Regeste</w:t>
      </w:r>
    </w:p>
    <w:p>
      <w:r>
        <w:t>Assurance-accidents (revenus avec et sans 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se fondant sur les conclusions de l'expertise judiciaire pour reconnaître le droit de l'intimé à une rente d'invalidité de 32 % et à une IPAI de 7,5 %.</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La cour cantonale a correctement exposé la jurisprudence en matière d'appréciation de rapports médicaux ( ATF 134 V 231 consid. 5.1; 125 V 351 consid. 3), de sorte qu'on peut y renvoyer.</w:t>
      </w:r>
    </w:p>
    <w:p>
      <w:r>
        <w:rPr>
          <w:b/>
        </w:rPr>
        <w:t>E. 3.2</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4.1</w:t>
      </w:r>
    </w:p>
    <w:p>
      <w:r>
        <w:t>Pour déterminer la capacité de travail résiduelle de l'intimé en relation avec les atteintes de sa main droite, les juges cantonaux ont constaté que la valeur probante de l'expertise judiciaire n'était pas mise en doute par les parties. Ils ont considéré que cette expertise emportait leur conviction en ce qui concernait les atteintes de la main droite, les limitations fonctionnelles en résultant et leur répercussion sur la capacité de travail. Sur cette base, ils ont retenu que l'intimé présentait une incapacité de travail totale dans la profession de menuisier, mais qu'il disposait d'une pleine capacité de travail dans une activité adaptée aux limitations fonctionnelles prohibant le port de charges supérieures à 1 kg et les métiers impliquant des mouvements répétitifs du poignet droit en pronosupination et qu'il était seulement en mesure d'exercer un métier mono-manuel gauche, tout en utilisant le membre supérieur droit pour des gestes d'appoint lors du port de charges ou de mouvements répétitifs. Pour ce qui concernait les limitations fonctionnelles et la capacité de travail liées à la hanche, ils ont considéré que l'appréciation du docteur D.________ n'était pas probante et qu'il y avait lieu de s'en tenir aux conclusions de l'expertise du docteur C.________ et de l'examen final du docteur G.________, médecin d'arrondissement ainsi que spécialiste FMH en chirurgie orthopédique et traumatologie, selon lesquelles l'activité professionnelle devait respecter une alternance des positions assise et debout, tout en permettant une marche et une position assise d'environ 20 à 25 minutes, évitant la montée et descente répétée d'escaliers ou d'échelles, ainsi que de fréquents accroupissements et des déplacements supérieurs à 30 minutes, étant précisé qu'une telle activité adaptée pouvait être réalisée la journée entière sans baisse de rendement.</w:t>
      </w:r>
    </w:p>
    <w:p>
      <w:r>
        <w:rPr>
          <w:b/>
        </w:rPr>
        <w:t>E. 4.2</w:t>
      </w:r>
    </w:p>
    <w:p>
      <w:r>
        <w:t>Devant le Tribunal fédéral, la recourante s'en prend à la valeur probante de l'expertise judiciaire, en faisant valoir que celle-ci serait contradictoire, lacunaire, imprécise et erronée.</w:t>
      </w:r>
    </w:p>
    <w:p>
      <w:r>
        <w:rPr>
          <w:b/>
        </w:rPr>
        <w:t>E. 4.3</w:t>
      </w:r>
    </w:p>
    <w:p>
      <w:r>
        <w:t>On ne saurait suivre l'argumentation de la recourante. En effet, en tant qu'elle entrevoit une contradiction dans les affirmations de l'expert judiciaire, selon lesquelles d'une part le port de charges avec le membre supérieur droit est limité à 1 kg et d'autre part la force de poigne au serrage à droite est de 9,5 kg elle procède à une lecture biaisée du rapport. Contrairement à ce que prétend la recourante, c'est de manière cohérente que l'expert judiciaire a tenu compte du fait que l'intimé dispose d'une franche diminution de force du côté droit (force de poigne au serrage de 9,5 kg - contre 50 kg à gauche) dans l'évaluation des activités exigibles, en ce sens qu'il a considéré que seules des activités qui ne comportent pas le port de charges de plus de 1 kg avec le membre supérieur droit et qui excluent des activités impliquant des mouvements répétés du poignet droit en pronosupination sont exigibles. C'est aussi à tort que la recourante soutient que le rapport d'expertise serait lacunaire, puisqu'il ne répondrait pas à la question de savoir si les limitations fonctionnelles constatées empêcheraient l'intimé de faire de la dactylographie. Il appartient certes au médecin d'indiquer les limitations fonctionnelles qui ont une influence sur la capacité de travail de l'assuré. Pour le surplus, il incombe à l'administration - ou en cas de litige au juge - d'évaluer sur la base de l'exigibilité médicale définie par le médecin le type d'activité que l'assuré pourrait encore exercer (cf. ATF 145 V 361 consid. 3.2.1; 144 V 50 consid. 4.3 avec renvoi à l' ATF 140 V 193 consid. 3.2). On ne saurait en outre suivre la recourante lorsqu'elle remet en cause la valeur probante de l'expertise judiciaire au motif que l'indication du taux d'IPAI entre 5-10 % ne serait pas suffisamment précise. S'il est vrai que l'expert est en principe tenu d'indiquer un taux d'indemnisation exact (arrêt 8C_235/2020 du 15 février 2021 consid. 3.4.5), force est de constater qu'un taux indicatif entre 5-10 % apparaît comme suffisamment précis. En ce qui concerne la baisse de rendement préconisée par le docteur E.________ en raison des douleurs persistantes à la fesse droite et de l'inactivité de l'intimé, c'est à juste titre que la cour cantonale n'en a pas tenu compte dans l'estimation de la capacité de travail concernant le poignet droit.</w:t>
      </w:r>
    </w:p>
    <w:p>
      <w:r>
        <w:rPr>
          <w:b/>
        </w:rPr>
        <w:t>E. 4.4</w:t>
      </w:r>
    </w:p>
    <w:p>
      <w:r>
        <w:t>En l'absence de motifs impérieux permettant de s'écarter des conclusions d'une expertise judiciaire (cf. consid. 3.2 supra), c'est à bon droit que la cour cantonale s'est fondée sur le rapport du docteur E.________ pour déterminer la capacité de travail résiduelle de l'intimé en ce qui concerne son membre supérieur droit.</w:t>
      </w:r>
    </w:p>
    <w:p>
      <w:r>
        <w:rPr>
          <w:b/>
        </w:rPr>
        <w:t>E. 5.1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arrêts 8C_679/2020 du 1er juillet 2021 consid. 5.1 et 8C_259/2021 du 23 septembre 2021 consid. 3).</w:t>
      </w:r>
    </w:p>
    <w:p>
      <w:r>
        <w:rPr>
          <w:b/>
        </w:rPr>
        <w:t>E. 5.2</w:t>
      </w:r>
    </w:p>
    <w:p>
      <w:r>
        <w:t>Sur le plan économique, s'agissant du revenu sans invalidité, les premiers juges ont retenu un montant annuel de 74'869 fr. 12, en se fondant sur un certificat de salaire de 2014, dont le montant concordait avec les revenus indiqués dans l'extrait du compte individuel de l'intimé. Puis, le salaire nominal n'ayant pas varié jusqu'en 2017 selon les informations du dernier employeur, ils ont adapté le revenu à l'indice suisse des salaires entre 2017 et 2019.</w:t>
      </w:r>
    </w:p>
    <w:p>
      <w:r>
        <w:rPr>
          <w:b/>
        </w:rPr>
        <w:t>E. 5.3</w:t>
      </w:r>
    </w:p>
    <w:p>
      <w:r>
        <w:t>Invoquant une violation du droit, la recourante reproche d'abord aux premiers juges de ne pas avoir tenu compte du dernier salaire réalisé par l'intimé avant son accident en 2015, mais seulement de celui de 2014. Il est établi que l'intimé n'avait pas un salaire mensuel constant, dans la mesure où, malgré son occupation régulière et à plein temps, il était payé à l'heure. À la différence du gain assuré ( art. 15 al. 2 LAA ), pour lequel il y a lieu de tenir compte du dernier salaire que l'assuré a reçu avant l'accident, le revenu de valide est déterminé en fonction de ce que l'assuré aurait réellement pu obtenir au moment déterminant s'il n'était pas devenu invalide (cf. consid. 5.1 supra). Or le calcul présenté par la CNA dans son mémoire de recours - pour autant qu'on parvienne à suivre son raisonnement - semble plutôt correspondre à un calcul de gain assuré, puisqu'il tient compte des revenus que l'intimé aurait réalisés du 9 novembre 2014 au 9 novembre 2015 (jour de l'accident), ce qui est erroné. La recourante se contente d'ailleurs de présenter son propre calcul, sans contester les faits établis par la cour cantonale, selon lesquels l'intimé avait perçu, en 2014, un revenu de 74'128 fr., tel que cela ressort en effet du certificat de salaire et de l'extrait du compte individuel, soit des documents officiels probants. Par ailleurs, on ne voit pas ce que la recourante entend tirer en sa faveur du grief que le salaire de l'intimé doit être adapté depuis 2014 en fonction des indications de l'employeur. En effet, si l'on tient compte des informations de ce dernier, le salaire horaire aurait augmenté de 31 fr. 45 en 2014 à 32 fr. en 2019, soit une augmentation totale de 1,75 %, ce qui serait plus défavorable à la recourante que si l'on adapte le revenu en l'indexant à l'indice suisse des salaires entre 2017 et 2019 (+ 0.5 % pour 2018 et + 0.5 % pour 2019) comme l'a fait la cour cantonale.</w:t>
      </w:r>
    </w:p>
    <w:p>
      <w:r>
        <w:rPr>
          <w:b/>
        </w:rPr>
        <w:t>E. 6.1</w:t>
      </w:r>
    </w:p>
    <w:p>
      <w:r>
        <w:t>La recourante conteste également la fixation du revenu avec invalidité.</w:t>
      </w:r>
    </w:p>
    <w:p>
      <w:r>
        <w:rPr>
          <w:b/>
        </w:rPr>
        <w:t>E. 6.1.1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(ci-après: l'ESS;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6.1.2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6.1.3</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146 V 16 consid. 4.2; 116 V 307 consid. 2 et les références).</w:t>
      </w:r>
    </w:p>
    <w:p>
      <w:r>
        <w:rPr>
          <w:b/>
        </w:rPr>
        <w:t>E. 6.1.4</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126 V 75 consid. 6).</w:t>
      </w:r>
    </w:p>
    <w:p>
      <w:r>
        <w:rPr>
          <w:b/>
        </w:rPr>
        <w:t>E. 6.2</w:t>
      </w:r>
    </w:p>
    <w:p>
      <w:r>
        <w:t>Les juges cantonaux ont déterminé le revenu avec invalidité sur la base des données statistiques résultant de l'ESS 2016 (TA1, homme, niveau de formation 1) et ont procédé à un abattement de 25 % sur le chiffre ainsi obtenu pour parvenir à un revenu d'invalide de 50'807 fr. 25. On précisera que la recourante n'avait pas eu à se poser la question d'un abattement dans la mesure où elle avait retenu à tort, sur la base de l'expertise non probante du docteur D.________, que l'intimé présentait une pleine capacité de travail dans son activité habituelle en tant que menuisier (cf. let. A.b et B supra). Les juges cantonaux ont déterminé l'étendue de l'abattement en tenant compte des limitations fonctionnelles et des longues années de service de l'intimé auprès de son employeur.</w:t>
      </w:r>
    </w:p>
    <w:p>
      <w:r>
        <w:rPr>
          <w:b/>
        </w:rPr>
        <w:t>E. 6.3</w:t>
      </w:r>
    </w:p>
    <w:p>
      <w:r>
        <w:t>La recourante critique l'arrêt attaqué en tant qu'il applique un abattement sur le revenu d'invalide pour les années de service. Puis, en ce qui concerne les limitations fonctionnelles, elle conteste la quotité de l'abattement. De son point de vue, un abattement supérieur à 10 % ne se justifierait pas en pareilles circonstances.</w:t>
      </w:r>
    </w:p>
    <w:p>
      <w:r>
        <w:rPr>
          <w:b/>
        </w:rPr>
        <w:t>E. 6.3.1</w:t>
      </w:r>
    </w:p>
    <w:p>
      <w:r>
        <w:t>En ce qui concerne la prise en compte d'un abattement lié aux années de service, il y a lieu de constater avec la recourante qu'elle n'est pas justifiée dans le cadre du choix du niveau de compétence 1 de l'ESS, l'influence de la durée de service sur le salaire étant peu importante dans cette catégorie d'emplois qui ne nécessitent ni formation ni expérience professionnelle spécifique (arrêt 8C_438/2022 du 26 mai 2023 consid. 4.3.5 et l'arrêt cité).</w:t>
      </w:r>
    </w:p>
    <w:p>
      <w:r>
        <w:rPr>
          <w:b/>
        </w:rPr>
        <w:t>E. 6.3.2</w:t>
      </w:r>
    </w:p>
    <w:p>
      <w:r>
        <w:t>S'agissant de l'abattement sur le revenu d'invalide pour les limitations fonctionnelles, il y a lieu de tenir compte de ce qui suit.</w:t>
      </w:r>
    </w:p>
    <w:p>
      <w:r>
        <w:rPr>
          <w:b/>
        </w:rPr>
        <w:t>E. 6.3.2.1</w:t>
      </w:r>
    </w:p>
    <w:p>
      <w:r>
        <w:t>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8C_58/2018 du 7 août 2018 consid. 5.3 et les nombreux arrêts cités, in SVR 2019 UV n° 7 p. 27; 8C_606/2022 du 4 mai 2023 consid. 6.1; cf. néanmoins arrêts 8C_587/2019 du 30 octobre 2019 consid. 7.3; 8C_383/2020 du 21 septembre 2020 consid. 4.2.2 et les arrêts cités, dans lesquels des abattements de 15 % et 10 % ont été considérés comme admissibles, le Tribunal fédéral n'ayant pas constaté d'abus ou d'excès du pouvoir d'appréciation).</w:t>
      </w:r>
    </w:p>
    <w:p>
      <w:r>
        <w:rPr>
          <w:b/>
        </w:rPr>
        <w:t>E. 6.3.2.2</w:t>
      </w:r>
    </w:p>
    <w:p>
      <w:r>
        <w:t>A l' ATF 148 V 174 , le Tribunal fédéral a retenu qu'actuellement, il n'existe pas de motif sérieux et objectif de modifier la jurisprudence selon laquelle la détermination du revenu d'invalide sur la base des valeurs statistiques se fonde en principe sur la valeur centrale, respectivement médiane de l'ESS. Il a toutefois précisé que lorsque le revenu d'invalide est déterminé sur la base des salaires statistiques, il y a le correctif remarquable de l'abattement qui peut s'élever jusqu'à 25 % pour tenir compte du fait qu'une personne lésée ne peut pas forcément mettre pleinement à profit sa capacité de travail résiduelle sur un marché de travail réputé équilibré (consid. 9.2.2 et 9.2.3; par rapport au caractère remarquable de cet instrument correctif, cf. ég. arrêts 9C_339/2021 du 27 juillet 2022 consid. 4.5.4.1, in SVR 2023 IV n° 3 p. 9; 9C_360/2022 du 4 novembre 2022 consid. 4.1).</w:t>
      </w:r>
    </w:p>
    <w:p>
      <w:r>
        <w:rPr>
          <w:b/>
        </w:rPr>
        <w:t>E. 6.3.2.3</w:t>
      </w:r>
    </w:p>
    <w:p>
      <w:r>
        <w:t>En l'espèce, les premiers juges ont retenu sur la base de l'expertise judiciaire ainsi que des rapports des docteurs G.________ et C.________ que la capacité de travail de l'intimé était entière dans une activité adaptée aux limitations fonctionnelles et qu'il n'y avait pas de diminution de rendement. Ils ont à juste titre considéré que les limitations fonctionnelles de l'intimé étaient majeures, puisqu'elles l'astreignaient non seulement à exercer une activité mono-manuelle, mais lui imposaient en plus une activité permettant d'alterner toutes les 20 à 25 minutes les positions assise et debout, évitant la montée et descente répétée d'escaliers ou d'échelles, ainsi que de fréquents accroupissements et des déplacements supérieurs à 30 minutes (cf. consid. 4.1 in fine supra). Cela étant, il y a lieu d'admettre que même dans une activité pleinement adaptée, il est fort probable que l'intimé ne parvienne de loin pas à réaliser le revenu correspondant aux salaires statistiques de l'ESS. La cour cantonale n'a ainsi pas commis de violation du droit ni d'abus ou d'excès de son pouvoir d'appréciation en fixant l'abattement à 25 %. En particulier, les juges cantonaux n'ont pas substitué leur propre appréciation à celle de l'administration ( ATF 126 V 75 consid. 6), dès lors que la recourante avait constaté une pleine capacité de travail dans l'activité habituelle et n'avait donc pas elle-même fixé d'abattement dans la décision sur opposition litigieuse.</w:t>
      </w:r>
    </w:p>
    <w:p>
      <w:r>
        <w:rPr>
          <w:b/>
        </w:rPr>
        <w:t>E. 7</w:t>
      </w:r>
    </w:p>
    <w:p>
      <w:r>
        <w:t>Il s'ensuit que le recours est mal fondé et doit être rejeté dans son intégralité.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