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8C_705/2024 vom 5. Dezember 2024</w:t>
      </w:r>
    </w:p>
    <w:p>
      <w:r>
        <w:t>Bundesgericht, 2024-12-05, DE</w:t>
      </w:r>
    </w:p>
    <w:p>
      <w:r>
        <w:rPr>
          <w:b/>
        </w:rPr>
        <w:t xml:space="preserve">Quelle: </w:t>
      </w:r>
      <w:r>
        <w:t>https://mcp.opencaselaw.ch/entscheid/bger_8C_705_2024</w:t>
      </w:r>
    </w:p>
    <w:p>
      <w:r>
        <w:t>FR: TF 8C_705/2024 du 5 décembre 2024</w:t>
      </w:r>
    </w:p>
    <w:p>
      <w:r>
        <w:t>IT: TF 8C_705/2024 del 5 dicembre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am 17. Oktober 2024 zugestellten Urteil vom 10. Oktober 2024 dar, weshalb sie auf die gegen die Verfügung der Beschwerdegegnerin vom 18. Juli 2024 gerichtete Beschwerde nicht eintrat (Androhungsgemässes Nichteintreten nach Nichtleistung des Kostenvorschusses).</w:t>
      </w:r>
    </w:p>
    <w:p>
      <w:r>
        <w:rPr>
          <w:b/>
        </w:rPr>
        <w:t>E. 4</w:t>
      </w:r>
    </w:p>
    <w:p>
      <w:r>
        <w:t>Die bundesgerichtliche Rechtsmittelfrist ist gemäss Art. 44 - 48 und Art. 100 Abs. 1 BGG am 18. September 2024 abgelaufen. Innert dieser Frist hat der Beschwerdeführer nicht aufgezeigt, inwiefern die von der Vorinstanz in diesem Zusammenhang getroffenen Sachverhaltsfeststellungen offensichtlich unrichtig (vgl. Art. 97 Abs. 1 BGG ) - mithin willkürlich ( BGE 146 IV 88 E. 1.3.1 f.; 140 III 115 E. 2; je mit Hinweisen) - oder sonstwie bundesrechtswidrig sein sollen. Ebenso wenig tut er dar, weshalb das darauf beruhende Nichteintreten gegen Bundesrecht verstossen oder einen anderen Beschwerdegrund (vgl. Art. 95 lit. a-e BGG ) gesetzt haben könnte. Allein zu erklären, weshalb es für ihn keinen Sinn gemacht habe, den Kostenvorschuss zu leisten, zielt an der Sache vorbei.</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nochmals (bereits so: Urteil 8C_815/2017 vom 6. Dezember 2017) auf die Erhebung von Gerichtskosten verzichtet. Indessen darf der Beschwerdeführer bei gleichbleibenden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