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8C_705/2012 vom 17. Januar 2013</w:t>
      </w:r>
    </w:p>
    <w:p>
      <w:r>
        <w:t>Bundesgericht, 2013-01-17, DE</w:t>
      </w:r>
    </w:p>
    <w:p>
      <w:r>
        <w:rPr>
          <w:b/>
        </w:rPr>
        <w:t xml:space="preserve">Quelle: </w:t>
      </w:r>
      <w:r>
        <w:t>https://mcp.opencaselaw.ch/entscheid/bger_8C_705_2012</w:t>
      </w:r>
    </w:p>
    <w:p>
      <w:r>
        <w:t>FR: TF 8C_705/2012 du 17 janvier 2013</w:t>
      </w:r>
    </w:p>
    <w:p>
      <w:r>
        <w:t>IT: TF 8C_705/2012 del 17 gennaio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Leistungen der Unfallversicherung im Allgemeinen ( Art. 6 Abs. 1 UVG ), zum Unfallbegriff ( Art. 4 ATSG ), zum Unfallbegriffsmerkmal der Ungewöhnlichkeit des äusseren Faktors ( BGE 134 V 72 ; 130 V 117 ) und zum Begriff der unfallähnlichen Körperschädigungen, die auch ohne ungewöhnliche äussere Einwirkung Unfällen gleichgestellt sind ( Art. 6 Abs. 2 UVG in Verbindung mit Art. 9 Abs. 2 UVV ; BGE 129 V 466 ) zutreffend dargelegt. Darauf wird verwiesen.</w:t>
      </w:r>
    </w:p>
    <w:p>
      <w:r>
        <w:rPr>
          <w:b/>
        </w:rPr>
        <w:t>E. 3.1</w:t>
      </w:r>
    </w:p>
    <w:p>
      <w:r>
        <w:t>Es ist letztinstanzlich zu Recht unbestritten geblieben, dass die Versicherte am 13. Oktober 2009 jedenfalls keinen Unfall im Sinne von Art. 4 ATSG erlitten hat. Umstritten ist jedoch, ob eine der in Art. 9 Abs. 2 UVV genannten Körperschädigungen vorliegt, was bejahendenfalls eine Leistungspflicht der Beschwerdegegnerin nach sich ziehen würde.</w:t>
      </w:r>
    </w:p>
    <w:p>
      <w:r>
        <w:rPr>
          <w:b/>
        </w:rPr>
        <w:t>E. 3.2</w:t>
      </w:r>
    </w:p>
    <w:p>
      <w:r>
        <w:t>Bei unfallähnlichen Körperschädigungen nach Art. 9 Abs. 2 UVV müssen zur Begründung der Leistungspflicht des Unfallversicherers - wie die Vorinstanz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dazu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Für die Bejahung eines äusseren Faktors braucht es zusammenfassend demzufolge ein gesteigertes Schädigungspotenzial, sei es zufolge einer allgemein gesteigerten Gefahrenlage, sei es durch Hinzutreten eines zur Unkontrolliertheit der Vornahme der alltäglichen Lebensverrichtung führenden Faktors ( BGE 129 V 466 E. 4.3 S. 471).</w:t>
      </w:r>
    </w:p>
    <w:p>
      <w:r>
        <w:rPr>
          <w:b/>
        </w:rPr>
        <w:t>E. 3.3</w:t>
      </w:r>
    </w:p>
    <w:p>
      <w:r>
        <w:t>Die Beschwerdeführerin vergleicht den zu beurteilenden Sachverhalt - wie bereits in der vorinstanzlich eingereichten Rechtsschrift - unter anderem mit dem plötzlichen Aufstehen aus der Hocke ( BGE 116 V 145 E. 2c S. 148 mit Hinweisen), mit dem Aufspringen von einem Bürostuhl mit abrupter Rotations-/Seitwärtsbewegung aus Freude über günstige Konditionen für den Abschluss eines grundpfandgesicherten Darlehens (Urteil U 159/06 vom 29. August 2006 E. 3.2), mit dem reflexartigen Auffangen eines wegkippenden Einkaufswagens (Urteil U 222/05 vom 21. März 2006 E. 6.2), mit dem Anheben eines 15 kg schweren, sperrigen Plastiktisches mit gleichzeitiger Drehbewegung, um diesen auf dem Rücken zu transportieren (Urteil U 123/04 vom 5. Juli 2004 E. 3.3), mit dem brüsken Umdrehen beim Kochen, um etwas aus dem Kühlschrank zu holen (Urteil U 5/02 vom 21. Oktober 2002 E. 2), oder mit dem Verschieben eines schweren Wäschekorbes mit dem linken Fuss, Ausführung einer ruckartigen Bewegung und Verdrehung des rechten Knies (RKUV 2000 Nr. U 385 S. 267, U 228/99). In diesen Fällen wurde gemäss höchstrichterlicher Rechtsprechung ein äusserer Faktor bejaht (vgl. auch die Übersicht in: Alexandra Rumo-Jungo/André Pierre Holzer, Rechtsprechung des Bundesgerichts zum Sozialversicherungsrecht, Bundesgesetz über die Unfallversicherung, 4. Aufl. 2012, S. 81 f.).</w:t>
      </w:r>
    </w:p>
    <w:p>
      <w:r>
        <w:t>Die Versicherte verkennt, dass diese Tatbestände wohl körpereigene Bewegungen und alltägliche Lebensverrichtungen darstellen, bei welchen jedoch - anders als vorliegend - ein davon unterscheidbares zur Unkontrollierbarkeit der Verrichtung führendes äusseres Moment in Form der Plötzlichkeit, Brüskheit, Belastung o.Ä. hinzutrat (vgl. Urteil 8C_772/2009 vom 7. Mai 2010 E. 3.3). Sie lässt geltend machen, indem sie sich von ihrem Arbeitsplatz bei der Kasse stehend über das Förderband gebückt habe, um aus dem Einkaufswagen einer 90-jährigen Kundin einen Weinkarton mit sechs Flaschen mit einem Gewicht von ungefähr acht Kilogramm auf das Förderband zu heben, habe sie zwangsläufig eine ergonomisch schlechte Haltung eingenommen. In dieser vorgeneigten Haltung habe sie mit ausgestreckten Armen eine ruckartige Bewegung ausführen müssen, um den Weinkarton aufs Förderband zu heben. Dabei ist allerdings zu beachten, dass das An- oder Aufheben eines Gegenstandes, je nach Beschaffenheit desselben, insbesondere seines Gewichts und seiner Form, naturgemäss mit einem gewissen Kraftaufwand und - bewegungsmässig - mit einem entsprechenden Ruck verbunden ist. Beim Heben eines ungefähr acht Kilo schweren Weinkartons durch eine weibliche erwachsene Person kann weder ein solcher Ruck beim Anheben noch eine ergonomisch nicht optimale Haltung, für sich allein betrachtet, d.h. ohne besondere hinzutretende Umstände, zur Annahme eines äusseren Faktors im Sinne der Rechtsprechung führen. Ein in den Bewegungsablauf hineinspielendes äusseres Moment und damit ein ausserhalb des Körpers liegendes, objektiv feststellbares, sinnfälliges, unfallähnliches Ereignis ist nicht nachgewiesen. Soweit die Beschwerdeführerin einwendet, das Heben des Weinkartons habe nicht unter normalen Bedingungen stattgefunden, weil sie als Kassiererin die Ware zu tippen und vom Förderband aus in die Auffangablage zu befördern habe, was "normalerweise automatisch" geschehe, kann sie daraus nichts zu ihren Gunsten ableiten. Das Heben von Gewichten um die acht Kilogramm - oft auch in unergonomischen Haltungen - gehört für Erwachsene zu den alltäglichen Handlungen, unabhängig davon, ob sie beruflich als Kassierer tätig sind.</w:t>
      </w:r>
    </w:p>
    <w:p>
      <w:r>
        <w:rPr>
          <w:b/>
        </w:rPr>
        <w:t>E. 3.4</w:t>
      </w:r>
    </w:p>
    <w:p>
      <w:r>
        <w:t>Fehlt es demgemäss an einem benennbaren äusseren Faktor, so besteht keine Leistungspflicht der SWICA. Entgegen der Ansicht der Beschwerdeführerin konnten unter diesen Umständen weitere medizinische Abklärungen zur Art des Gesundheitsschadens in antizipierter Beweiswürdigung ( BGE 136 I 229 E. 5.3 S. 236 ; 134 I 140 E. 5.3 S. 148; 124 V 90 E. 4b S. 94) unterbleiben, ohne dass dadurch der Untersuchungsgrundsatz verletzt wurde.</w:t>
      </w:r>
    </w:p>
    <w:p>
      <w:r>
        <w:t>Der Unfallversicherer hat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 BGE 130 V 380 ). Die Leistungseinstellung der SWICA unter Berufung auf das Fehlen eines Unfallereignisses oder einer unfallähnlichen Körperschädigung ist daher rechtens.</w:t>
      </w:r>
    </w:p>
    <w:p>
      <w:r>
        <w:rPr>
          <w:b/>
        </w:rPr>
        <w:t>E. 4</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