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8C_705/2011 vom 21. Oktober 2011</w:t>
      </w:r>
    </w:p>
    <w:p>
      <w:r>
        <w:t>Bundesgericht, 2011-10-21, FR</w:t>
      </w:r>
    </w:p>
    <w:p>
      <w:r>
        <w:rPr>
          <w:b/>
        </w:rPr>
        <w:t xml:space="preserve">Quelle: </w:t>
      </w:r>
      <w:r>
        <w:t>https://mcp.opencaselaw.ch/entscheid/bger_8C_705_2011</w:t>
      </w:r>
    </w:p>
    <w:p>
      <w:r>
        <w:t>FR: TF 8C_705/2011 du 21 octobre 2011</w:t>
      </w:r>
    </w:p>
    <w:p>
      <w:r>
        <w:t>IT: TF 8C_705/2011 del 21 ottobre 2011</w:t>
      </w:r>
    </w:p>
    <w:p>
      <w:pPr>
        <w:pStyle w:val="Heading2"/>
      </w:pPr>
      <w:r>
        <w:t>Erwägungen</w:t>
      </w:r>
    </w:p>
    <w:p>
      <w:r>
        <w:rPr>
          <w:b/>
        </w:rPr>
        <w:t>E. 1</w:t>
      </w:r>
    </w:p>
    <w:p>
      <w:r>
        <w:t>Le litige porte sur le montant du revenu d'invalide de l'assuré.</w:t>
      </w:r>
    </w:p>
    <w:p>
      <w:r>
        <w:rPr>
          <w:b/>
        </w:rPr>
        <w:t>E. 2</w:t>
      </w:r>
    </w:p>
    <w:p>
      <w:r>
        <w:t>Le recourant fait tout d'abord grief aux premiers juges d'avoir confirmé le recours - par l'office intimé - aux données statistiques résultant de l'Enquête suisse sur la structure des salaires de l'Office fédéral de la statistique (ci-après: ESS) pour déterminer le revenu d'invalide exigible dans une activité adaptée. Il soutient derechef que l'application dans son cas d'un revenu d'invalide fondé sur ces statistiques créerait une inégalité de traitement flagrante compte tenu des variations très importantes entre les différents salaires générés par des activités simples et répétitives. Il conviendrait de prendre en considération la branche qui correspond à la valeur statistique la plus basse, soit 3'429 fr. par mois.</w:t>
      </w:r>
    </w:p>
    <w:p>
      <w:r>
        <w:rPr>
          <w:b/>
        </w:rPr>
        <w:t>E. 2.1</w:t>
      </w:r>
    </w:p>
    <w:p>
      <w:r>
        <w:t>Le procédé de l'administration correspond toutefois à la jurisprudence constante en ce domaine (cf. par ex. arrêts 9C_44/2011 du 1er septembre 2011 consid. 5.4.2; 9C_210/2010 du 7 septembre 2010 consid. 3.5; 9C_71/2010 du 27 août 2010 consid. 3.6; 9C_609/2009 du 15 avril 2010 consid. 8.2.2). On ajoutera que l'évaluation du revenu d'invalide doit reposer sur un choix large et représentatif d'activités adaptées aux handicaps de la personne assurée et non pas seulement sur une seule (cf. arrêt 9C_1030/2008 du 4 juin 2009 consid. 3 et l'arrêt cité à ce propos). Le grief soulevé est mal fondé.</w:t>
      </w:r>
    </w:p>
    <w:p>
      <w:r>
        <w:rPr>
          <w:b/>
        </w:rPr>
        <w:t>E. 3</w:t>
      </w:r>
    </w:p>
    <w:p>
      <w:r>
        <w:t>Le recourant critique par ailleurs le taux d'abattement retenu par la juridiction cantonale. Il soutient qu'au vu des circonstances, il pouvait prétendre à une réduction maximale de 25 %.</w:t>
      </w:r>
    </w:p>
    <w:p>
      <w:r>
        <w:rPr>
          <w:b/>
        </w:rPr>
        <w:t>E. 3.1</w:t>
      </w:r>
    </w:p>
    <w:p>
      <w:r>
        <w:t>Ainsi que l'ont correctement exposé les premiers juges,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3.2</w:t>
      </w:r>
    </w:p>
    <w:p>
      <w:r>
        <w:t>Il n'y a pas lieu d'examiner ce qu'il en est en l'espèce. Même en admettant un abattement de 25 % sur le revenu d'invalide de 61'389 fr. (montant retenu par l'office intimé avant abattement de 10 %), il en résulterait un revenu d'invalide de 46'042 fr.; la comparaison avec le revenu sans invalidité de 50'609 fr. génère une perte de gain de 9 %, laquelle est insuffisante pour ouvrir le droit à la rente.</w:t>
      </w:r>
    </w:p>
    <w:p>
      <w:r>
        <w:rPr>
          <w:b/>
        </w:rPr>
        <w:t>E. 4</w:t>
      </w:r>
    </w:p>
    <w:p>
      <w:r>
        <w:t>Manifestement infondé, le recours doit être rejeté selon la procédure simplifiée de l' art. 109 al. 2 let. a LTF . Comme ses conclusions étaient vouées à l'échec, l'assistance judiciaire ne peut être accordée ( art. 64 al. 1 LTF ). Le recourant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