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8C_705/2007 vom 6. Mai 2008</w:t>
      </w:r>
    </w:p>
    <w:p>
      <w:r>
        <w:t>Bundesgericht, 2008-05-06, DE</w:t>
      </w:r>
    </w:p>
    <w:p>
      <w:r>
        <w:rPr>
          <w:b/>
        </w:rPr>
        <w:t xml:space="preserve">Quelle: </w:t>
      </w:r>
      <w:r>
        <w:t>https://mcp.opencaselaw.ch/entscheid/bger_8C_705_2007</w:t>
      </w:r>
    </w:p>
    <w:p>
      <w:r>
        <w:t>FR: TF 8C_705/2007 du 6 mai 2008</w:t>
      </w:r>
    </w:p>
    <w:p>
      <w:r>
        <w:t>IT: TF 8C_705/2007 del 6 maggio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Im Einspracheentscheid und im kantonalen Gerichtsentscheid werden die Bestimmung zum Ausschluss arbeitgeberähnlicher Personen vom Anspruch auf Insolvenzentschädigung ( Art. 51 Abs. 2 AVIG ) sowie die dazu ergangene Rechtsprechung ( BGE 126 V 134 ; ARV 1996/97 Nr. 41 S. 224 E. 1a S. 226) zutreffend dargelegt. Darauf wird verwiesen.</w:t>
      </w:r>
    </w:p>
    <w:p>
      <w:r>
        <w:rPr>
          <w:b/>
        </w:rPr>
        <w:t>E. 3.1</w:t>
      </w:r>
    </w:p>
    <w:p>
      <w:r>
        <w:t>Die Vorinstanz hat in pflichtgemässer Würdigung der gesamten Aktenlage mit nachvollziehbarer Begründung erkannt, dass sich die Firma X.________ AG bereits während der Dauer des Verwaltungsratsmandates des Beschwerdeführers in erheblichen finanziellen Schwierigkeiten befunden hatte, diese Probleme nach dem Ausscheiden aus dem Verwaltungsrat bestehen blieben und zuletzt zum Konkurs der Gesellschaft führten. Bei dieser Entwicklung könne der Versicherte gemäss BGE 126 V 134 keine Insolvenzentschädigung beziehen.</w:t>
      </w:r>
    </w:p>
    <w:p>
      <w:r>
        <w:rPr>
          <w:b/>
        </w:rPr>
        <w:t>E. 3.2</w:t>
      </w:r>
    </w:p>
    <w:p>
      <w:r>
        <w:t>Die Vorbringen des Beschwerdeführers vermögen diese Betrachtungsweise nicht in Zweifel zu ziehen. Die tatsächlichen Feststellungen sind nicht mangelhaft im Sinne von Art. 97 Abs. 1 BGG und die rechtliche Würdigung der Vorinstanz ist bundesrechtskonform. Der Versicherte lässt geltend machen, er sei an der ausserordentlichen Verwaltungsratssitzung vom 6. Dezember 2004 als CEO abgesetzt und neu als "einfacher Mitarbeiter" weiterbeschäftigt worden. Er sei nurmehr in beratender Funktion tätig gewesen und es sei ihm keine massgebliche Stellung in der Gesellschaft mehr zugekommen. Der Ausschlussgrund des Art. 51 Abs. 2 AVIG sei demgemäss nicht erfüllt. Ob der Beschwerdeführer als Direktor die Tätigkeit der Gesellschaft tatsächlich nicht mehr beeinflussen konnte, ist mit Blick darauf, dass er in dieser Funktion unter anderem die Entscheidungsfindung der neuen Geschäftsleitung zu unterstützen hatte (Schreiben des neuen Verwaltungsratspräsidenten vom 25. Januar 2006), zweifelhaft. Das kantonale Gericht musste diese Frage allerdings nicht beantworten. Wie im angefochtenen Gerichtsentscheid zu Recht ausgeführt wird, entfällt nämlich ein Anspruch auf Insolvenzentschädigung schon deshalb, weil die Gesellschaft bereits zu einer Zeit in finanzielle Schwierigkeiten geraten ist, als der Beschwerdeführer noch Verwaltungsratspräsident war und demgemäss arbeitgeberähnliche Befugnisse ausgeübt hatte. Die Probleme konnten auch nach seinem Ausscheiden aus dem Verwaltungsrat nicht gelöst werden und führten zuletzt in den Konkurs. Es liegt demnach, wie von der Vorinstanz zutreffend erwogen, ein Fall im Sinne von BGE 126 V 134 vor, womit dem Versicherten keine Insolvenzentschädigung zusteht. Daran ändert nichts, dass der Beschwerdeführer im Jahr 2005 annahm, die Gesellschaft befinde sich auf Grund von Sanierungsmassnahmen und einer angekündigten Fusion (wieder) in gesicherten finanziellen Verhältnissen. Nicht verlangt ist schliesslich gemäss BGE 126 V 134 , dass der Versicherte für die Gründe, welche schliesslich zum Konkurs führten, verantwortlich oder mitverantwortlich ist oder dass ihm eine Missbrauchsabsicht vorgeworfen werden kann. Vielmehr genügt, dass die finanziellen Schwierigkeiten, welche zuletzt zum Konkurs führten, bereits vor dem Austritt aus dem Verwaltungsrat bestanden ( BGE 126 V 134 E. 5c S. 138). Im Lichte der weder offensichtlich unrichtigen noch unvollständigen Tatsachenfeststellung im angefochtenen Entscheid durfte das kantonale Gericht, ohne Bundesrecht zu verletzen, einen Anspruch auf Insolvenzentschädigung ablehnen.</w:t>
      </w:r>
    </w:p>
    <w:p>
      <w:r>
        <w:rPr>
          <w:b/>
        </w:rPr>
        <w:t>E. 4</w:t>
      </w:r>
    </w:p>
    <w:p>
      <w:r>
        <w:t>Mit Blick auf den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