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704/2023 vom 10. November 2023</w:t>
      </w:r>
    </w:p>
    <w:p>
      <w:r>
        <w:t>Bundesgericht, 2023-11-10, DE</w:t>
      </w:r>
    </w:p>
    <w:p>
      <w:r>
        <w:rPr>
          <w:b/>
        </w:rPr>
        <w:t xml:space="preserve">Quelle: </w:t>
      </w:r>
      <w:r>
        <w:t>https://mcp.opencaselaw.ch/entscheid/bger_8C_704_2023</w:t>
      </w:r>
    </w:p>
    <w:p>
      <w:r>
        <w:t>FR: TF 8C 704/2023 du 10 novembre 2023</w:t>
      </w:r>
    </w:p>
    <w:p>
      <w:r>
        <w:t>IT: TF 8C 704/2023 del 10 novembre 2023</w:t>
      </w:r>
    </w:p>
    <w:p>
      <w:pPr>
        <w:pStyle w:val="Heading2"/>
      </w:pPr>
      <w:r>
        <w:t>Regeste</w:t>
      </w:r>
    </w:p>
    <w:p>
      <w:r>
        <w:t>Invalidenversicherung (Prozessvoraussetzung) | Invalidenversicherung</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w:t>
      </w:r>
    </w:p>
    <w:p>
      <w:r>
        <w:rPr>
          <w:b/>
        </w:rPr>
        <w:t>E. 2</w:t>
      </w:r>
    </w:p>
    <w:p>
      <w:r>
        <w:t>Die Beschwerdeführerin beschränkt sich in ihrer allein einen Satz umfassenden Eingabe vom 24. Oktober 2023 (Poststempel) darauf, "Einsprache" gegen das Urteil des kantonalen Gerichts vom 18. September 2023 zu erheben. Anträge in der Sache stellt sie keine. Eine Begründung, weshalb das angefochtene Urteil rechtsfehlerhaft sein soll, führt sie ebenso wenig an.</w:t>
      </w:r>
    </w:p>
    <w:p>
      <w:r>
        <w:rPr>
          <w:b/>
        </w:rPr>
        <w:t>E. 3</w:t>
      </w:r>
    </w:p>
    <w:p>
      <w:r>
        <w:t>Fehlt es offenkundig an einer hinreichend sachbezogen begründeten Beschwerde, so führt dies zu einem Nichteintreten im vereinfachten Verfahren nach Art. 108 Abs. 1 lit. b BGG .</w:t>
      </w:r>
    </w:p>
    <w:p>
      <w:r>
        <w:rPr>
          <w:b/>
        </w:rPr>
        <w:t>E. 4</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